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C40F" w14:textId="5ADC620B" w:rsidR="00A566DB" w:rsidRPr="00A566DB" w:rsidRDefault="00ED5EAE" w:rsidP="00A566DB">
      <w:pPr>
        <w:ind w:left="360" w:hanging="360"/>
        <w:rPr>
          <w:sz w:val="28"/>
          <w:szCs w:val="28"/>
        </w:rPr>
      </w:pPr>
      <w:r w:rsidRPr="00A566DB">
        <w:rPr>
          <w:b/>
          <w:bCs/>
          <w:sz w:val="28"/>
          <w:szCs w:val="28"/>
        </w:rPr>
        <w:t xml:space="preserve">Description of </w:t>
      </w:r>
      <w:r w:rsidRPr="00A566DB">
        <w:rPr>
          <w:b/>
          <w:bCs/>
          <w:sz w:val="28"/>
          <w:szCs w:val="28"/>
        </w:rPr>
        <w:t>g</w:t>
      </w:r>
      <w:r w:rsidRPr="00A566DB">
        <w:rPr>
          <w:b/>
          <w:bCs/>
          <w:sz w:val="28"/>
          <w:szCs w:val="28"/>
        </w:rPr>
        <w:t>DNA protocol</w:t>
      </w:r>
    </w:p>
    <w:p w14:paraId="25F9A3ED" w14:textId="061F63BF" w:rsidR="00123C19" w:rsidRDefault="00ED5EAE" w:rsidP="00A566DB">
      <w:r>
        <w:t>We developed a single cell multiomics protocol for analysis of replication timing (RT) and</w:t>
      </w:r>
      <w:r w:rsidR="00A566DB">
        <w:t xml:space="preserve"> </w:t>
      </w:r>
      <w:r>
        <w:t>gene expression from single cells</w:t>
      </w:r>
      <w:r w:rsidR="00123C19">
        <w:t xml:space="preserve"> (sc)</w:t>
      </w:r>
      <w:r>
        <w:t xml:space="preserve">. </w:t>
      </w:r>
      <w:r w:rsidR="007443BB">
        <w:t>As</w:t>
      </w:r>
      <w:r w:rsidR="00810F8B">
        <w:t xml:space="preserve"> </w:t>
      </w:r>
      <w:r w:rsidR="007443BB">
        <w:t xml:space="preserve">part of the multiomics approach, we developed a technique to amplify </w:t>
      </w:r>
      <w:r w:rsidR="00C62A4B">
        <w:t xml:space="preserve">gDNA </w:t>
      </w:r>
      <w:r w:rsidR="00A80517">
        <w:t xml:space="preserve">in house. </w:t>
      </w:r>
      <w:r w:rsidR="007443BB">
        <w:t xml:space="preserve">This </w:t>
      </w:r>
      <w:r w:rsidR="00A80517">
        <w:t xml:space="preserve">gDNA </w:t>
      </w:r>
      <w:r w:rsidR="007443BB">
        <w:t>protocol can be used in combination with the mRNA isolation or as a stand-alone protocol for amplification of sc-gDNA.</w:t>
      </w:r>
      <w:r w:rsidR="00A80517">
        <w:t xml:space="preserve"> </w:t>
      </w:r>
      <w:r>
        <w:t>Th</w:t>
      </w:r>
      <w:r w:rsidR="00CC6DA3">
        <w:t>e</w:t>
      </w:r>
      <w:r>
        <w:t xml:space="preserve"> protocol is compatible with both cells and nuclei as the starting material.</w:t>
      </w:r>
      <w:r w:rsidR="00A80517">
        <w:t xml:space="preserve"> </w:t>
      </w:r>
    </w:p>
    <w:p w14:paraId="18E30E66" w14:textId="29947806" w:rsidR="00ED5EAE" w:rsidRDefault="00123C19" w:rsidP="00A566DB">
      <w:r>
        <w:t xml:space="preserve">Briefly, we fragmented gDNA and then </w:t>
      </w:r>
      <w:r w:rsidR="00ED5EAE">
        <w:t xml:space="preserve">used a </w:t>
      </w:r>
      <w:r w:rsidR="00CC6DA3">
        <w:t>degenerate oligonucleotide-polymerase chain reaction (</w:t>
      </w:r>
      <w:r w:rsidR="00ED5EAE">
        <w:t>DOP</w:t>
      </w:r>
      <w:r w:rsidR="00CC6DA3">
        <w:t>-</w:t>
      </w:r>
      <w:r w:rsidR="00ED5EAE">
        <w:t>PCR</w:t>
      </w:r>
      <w:r w:rsidR="00CC6DA3">
        <w:t>)</w:t>
      </w:r>
      <w:r w:rsidR="00ED5EAE">
        <w:t xml:space="preserve"> method of amplification. After amplification, we performed restriction enzyme</w:t>
      </w:r>
      <w:r w:rsidR="000B7B44">
        <w:t xml:space="preserve"> (RE)</w:t>
      </w:r>
      <w:r w:rsidR="00ED5EAE">
        <w:t xml:space="preserve"> digestion of the gDNA fragments to get rid of majority of primer sequences with high G% and repeat regions.</w:t>
      </w:r>
      <w:r w:rsidR="00CC6DA3">
        <w:t xml:space="preserve"> </w:t>
      </w:r>
      <w:r>
        <w:t xml:space="preserve">We then performed library prep using the Nextera DNA prep kit and sequenced the gDNA. </w:t>
      </w:r>
      <w:r w:rsidR="007443BB">
        <w:t>The cDNA part of the protocol was adopted from G&amp;T protocol</w:t>
      </w:r>
      <w:sdt>
        <w:sdtPr>
          <w:rPr>
            <w:color w:val="000000"/>
            <w:vertAlign w:val="superscript"/>
          </w:rPr>
          <w:tag w:val="MENDELEY_CITATION_v3_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"/>
          <w:id w:val="-358273686"/>
          <w:placeholder>
            <w:docPart w:val="B56A9BD6371B39479F8A124F8BD3EA19"/>
          </w:placeholder>
        </w:sdtPr>
        <w:sdtContent>
          <w:r w:rsidR="007443BB" w:rsidRPr="00632B50">
            <w:rPr>
              <w:color w:val="000000"/>
              <w:vertAlign w:val="superscript"/>
            </w:rPr>
            <w:t>1</w:t>
          </w:r>
        </w:sdtContent>
      </w:sdt>
      <w:r w:rsidR="007443BB">
        <w:t xml:space="preserve"> with minor edits and can be found in the cDNA protocol file.</w:t>
      </w:r>
    </w:p>
    <w:p w14:paraId="644275E5" w14:textId="77777777" w:rsidR="00A566DB" w:rsidRPr="00CC6DA3" w:rsidRDefault="00A566DB" w:rsidP="00A566DB"/>
    <w:p w14:paraId="44B4E30A" w14:textId="402F50C7" w:rsidR="00F87325" w:rsidRPr="00A566DB" w:rsidRDefault="00F87325" w:rsidP="00F87325">
      <w:pPr>
        <w:rPr>
          <w:b/>
          <w:bCs/>
          <w:sz w:val="28"/>
          <w:szCs w:val="28"/>
        </w:rPr>
      </w:pPr>
      <w:r w:rsidRPr="00A566DB">
        <w:rPr>
          <w:b/>
          <w:bCs/>
          <w:sz w:val="28"/>
          <w:szCs w:val="28"/>
        </w:rPr>
        <w:t>Reagents</w:t>
      </w:r>
      <w:r w:rsidR="005D4FA3" w:rsidRPr="00A566DB">
        <w:rPr>
          <w:b/>
          <w:bCs/>
          <w:sz w:val="28"/>
          <w:szCs w:val="28"/>
        </w:rPr>
        <w:t xml:space="preserve"> and Materials</w:t>
      </w:r>
    </w:p>
    <w:p w14:paraId="6A76BDAA" w14:textId="57FC5630" w:rsidR="00F87325" w:rsidRPr="00EE2A09" w:rsidRDefault="00F87325" w:rsidP="00F87325">
      <w:pPr>
        <w:pStyle w:val="ListParagraph"/>
        <w:numPr>
          <w:ilvl w:val="0"/>
          <w:numId w:val="4"/>
        </w:numPr>
        <w:rPr>
          <w:b/>
          <w:bCs/>
        </w:rPr>
      </w:pPr>
      <w:r w:rsidRPr="0035027C">
        <w:rPr>
          <w:color w:val="000000" w:themeColor="text1"/>
        </w:rPr>
        <w:t xml:space="preserve">Agencourt AMPure </w:t>
      </w:r>
      <w:r>
        <w:rPr>
          <w:color w:val="000000" w:themeColor="text1"/>
        </w:rPr>
        <w:t xml:space="preserve">XP </w:t>
      </w:r>
      <w:r w:rsidRPr="0035027C">
        <w:rPr>
          <w:color w:val="000000" w:themeColor="text1"/>
        </w:rPr>
        <w:t xml:space="preserve">beads </w:t>
      </w:r>
      <w:r w:rsidR="00910AE2">
        <w:rPr>
          <w:color w:val="000000" w:themeColor="text1"/>
        </w:rPr>
        <w:t>(</w:t>
      </w:r>
      <w:r w:rsidR="00910AE2">
        <w:rPr>
          <w:rFonts w:ascii="Arial" w:hAnsi="Arial" w:cs="Arial"/>
          <w:color w:val="000000"/>
          <w:sz w:val="20"/>
          <w:szCs w:val="20"/>
        </w:rPr>
        <w:t>Beckman Coulter- A63881)</w:t>
      </w:r>
    </w:p>
    <w:p w14:paraId="68570416" w14:textId="5C986917" w:rsidR="00F87325" w:rsidRDefault="00F87325" w:rsidP="00F87325">
      <w:pPr>
        <w:pStyle w:val="ListParagraph"/>
        <w:numPr>
          <w:ilvl w:val="0"/>
          <w:numId w:val="4"/>
        </w:numPr>
      </w:pPr>
      <w:r>
        <w:t>Nuclease free water</w:t>
      </w:r>
      <w:r w:rsidR="0066610E">
        <w:t xml:space="preserve"> (Ambion- </w:t>
      </w:r>
      <w:r w:rsidR="0066610E">
        <w:rPr>
          <w:rFonts w:ascii="Arial" w:hAnsi="Arial" w:cs="Arial"/>
          <w:color w:val="000000"/>
          <w:sz w:val="20"/>
          <w:szCs w:val="20"/>
        </w:rPr>
        <w:t>AM9937)</w:t>
      </w:r>
    </w:p>
    <w:p w14:paraId="6D44BE52" w14:textId="77777777" w:rsidR="00F87325" w:rsidRPr="00EE2A09" w:rsidRDefault="00F87325" w:rsidP="00F87325">
      <w:pPr>
        <w:pStyle w:val="ListParagraph"/>
        <w:numPr>
          <w:ilvl w:val="0"/>
          <w:numId w:val="4"/>
        </w:numPr>
      </w:pPr>
      <w:r>
        <w:t>100% Ethanol</w:t>
      </w:r>
    </w:p>
    <w:p w14:paraId="01463313" w14:textId="4826ABED" w:rsidR="00F87325" w:rsidRPr="00DF2E9A" w:rsidRDefault="00F87325" w:rsidP="00F87325">
      <w:pPr>
        <w:pStyle w:val="ListParagraph"/>
        <w:numPr>
          <w:ilvl w:val="0"/>
          <w:numId w:val="4"/>
        </w:numPr>
        <w:rPr>
          <w:b/>
          <w:bCs/>
        </w:rPr>
      </w:pPr>
      <w:r w:rsidRPr="00DF2E9A">
        <w:rPr>
          <w:b/>
          <w:bCs/>
        </w:rPr>
        <w:t>Lysis and Fragmentation buffer</w:t>
      </w:r>
      <w:r w:rsidR="00DF2E9A">
        <w:rPr>
          <w:b/>
          <w:bCs/>
        </w:rPr>
        <w:t xml:space="preserve"> recipe</w:t>
      </w:r>
    </w:p>
    <w:p w14:paraId="3D010EB4" w14:textId="54540143" w:rsidR="00215588" w:rsidRPr="00651449" w:rsidRDefault="00215588" w:rsidP="00215588">
      <w:pPr>
        <w:ind w:left="720"/>
      </w:pPr>
      <w:r w:rsidRPr="00651449">
        <w:t>For 96-well plate-</w:t>
      </w:r>
    </w:p>
    <w:tbl>
      <w:tblPr>
        <w:tblStyle w:val="TableGrid"/>
        <w:tblW w:w="0" w:type="auto"/>
        <w:tblInd w:w="720" w:type="dxa"/>
        <w:tblLook w:val="04A0" w:firstRow="1" w:lastRow="0" w:firstColumn="1" w:lastColumn="0" w:noHBand="0" w:noVBand="1"/>
      </w:tblPr>
      <w:tblGrid>
        <w:gridCol w:w="5845"/>
        <w:gridCol w:w="2785"/>
      </w:tblGrid>
      <w:tr w:rsidR="00215588" w14:paraId="42071CED" w14:textId="77777777" w:rsidTr="00474F99">
        <w:tc>
          <w:tcPr>
            <w:tcW w:w="5845" w:type="dxa"/>
          </w:tcPr>
          <w:p w14:paraId="2EF567F6" w14:textId="77777777" w:rsidR="00215588" w:rsidRDefault="00215588" w:rsidP="003D6099">
            <w:pPr>
              <w:pStyle w:val="ListParagraph"/>
              <w:ind w:left="0"/>
              <w:rPr>
                <w:color w:val="000000" w:themeColor="text1"/>
              </w:rPr>
            </w:pPr>
            <w:r>
              <w:rPr>
                <w:color w:val="000000" w:themeColor="text1"/>
              </w:rPr>
              <w:t>Component</w:t>
            </w:r>
          </w:p>
        </w:tc>
        <w:tc>
          <w:tcPr>
            <w:tcW w:w="2785" w:type="dxa"/>
          </w:tcPr>
          <w:p w14:paraId="17A22236" w14:textId="77777777" w:rsidR="00215588" w:rsidRDefault="00215588" w:rsidP="003D6099">
            <w:pPr>
              <w:pStyle w:val="ListParagraph"/>
              <w:ind w:left="0"/>
              <w:rPr>
                <w:color w:val="000000" w:themeColor="text1"/>
              </w:rPr>
            </w:pPr>
            <w:r>
              <w:rPr>
                <w:color w:val="000000" w:themeColor="text1"/>
              </w:rPr>
              <w:t>Volume (uL)</w:t>
            </w:r>
          </w:p>
        </w:tc>
      </w:tr>
      <w:tr w:rsidR="00215588" w14:paraId="00958EF9" w14:textId="77777777" w:rsidTr="00474F99">
        <w:tc>
          <w:tcPr>
            <w:tcW w:w="5845" w:type="dxa"/>
          </w:tcPr>
          <w:p w14:paraId="25ED897D" w14:textId="77777777" w:rsidR="00215588" w:rsidRDefault="00215588" w:rsidP="00474F99">
            <w:pPr>
              <w:pStyle w:val="ListParagraph"/>
              <w:ind w:left="0"/>
              <w:rPr>
                <w:color w:val="000000" w:themeColor="text1"/>
              </w:rPr>
            </w:pPr>
            <w:r w:rsidRPr="00640F28">
              <w:rPr>
                <w:color w:val="000000" w:themeColor="text1"/>
              </w:rPr>
              <w:t>10× Single-cell Lysis an</w:t>
            </w:r>
            <w:r>
              <w:rPr>
                <w:color w:val="000000" w:themeColor="text1"/>
              </w:rPr>
              <w:t xml:space="preserve">d </w:t>
            </w:r>
            <w:r w:rsidRPr="00640F28">
              <w:rPr>
                <w:color w:val="000000" w:themeColor="text1"/>
              </w:rPr>
              <w:t>Fragmentation Buffer (Sigma, cat. no.L1043-500Rxn)</w:t>
            </w:r>
          </w:p>
        </w:tc>
        <w:tc>
          <w:tcPr>
            <w:tcW w:w="2785" w:type="dxa"/>
          </w:tcPr>
          <w:p w14:paraId="24C04EA3" w14:textId="77777777" w:rsidR="00215588" w:rsidRDefault="00215588" w:rsidP="003D6099">
            <w:pPr>
              <w:pStyle w:val="ListParagraph"/>
              <w:ind w:left="0"/>
              <w:rPr>
                <w:color w:val="000000" w:themeColor="text1"/>
              </w:rPr>
            </w:pPr>
            <w:r>
              <w:rPr>
                <w:color w:val="000000" w:themeColor="text1"/>
              </w:rPr>
              <w:t>96</w:t>
            </w:r>
          </w:p>
        </w:tc>
      </w:tr>
      <w:tr w:rsidR="00215588" w14:paraId="6A4B6241" w14:textId="77777777" w:rsidTr="00474F99">
        <w:tc>
          <w:tcPr>
            <w:tcW w:w="5845" w:type="dxa"/>
          </w:tcPr>
          <w:p w14:paraId="049A8C13" w14:textId="5287DF7E" w:rsidR="00215588" w:rsidRPr="00474F99" w:rsidRDefault="00215588" w:rsidP="00474F99">
            <w:pPr>
              <w:rPr>
                <w:b/>
                <w:bCs/>
              </w:rPr>
            </w:pPr>
            <w:r w:rsidRPr="00474F99">
              <w:rPr>
                <w:color w:val="000000" w:themeColor="text1"/>
              </w:rPr>
              <w:t>20 mg/ml proteinase K</w:t>
            </w:r>
            <w:r w:rsidR="00306A34" w:rsidRPr="00474F99">
              <w:rPr>
                <w:color w:val="000000" w:themeColor="text1"/>
              </w:rPr>
              <w:t xml:space="preserve"> (Sigma, </w:t>
            </w:r>
            <w:r w:rsidR="00306A34" w:rsidRPr="00474F99">
              <w:rPr>
                <w:rFonts w:ascii="Arial" w:hAnsi="Arial" w:cs="Arial"/>
                <w:color w:val="000000"/>
                <w:sz w:val="20"/>
                <w:szCs w:val="20"/>
              </w:rPr>
              <w:t>P4850-1ML)</w:t>
            </w:r>
          </w:p>
        </w:tc>
        <w:tc>
          <w:tcPr>
            <w:tcW w:w="2785" w:type="dxa"/>
          </w:tcPr>
          <w:p w14:paraId="37FC6F6C" w14:textId="77777777" w:rsidR="00215588" w:rsidRDefault="00215588" w:rsidP="003D6099">
            <w:pPr>
              <w:pStyle w:val="ListParagraph"/>
              <w:ind w:left="0"/>
              <w:rPr>
                <w:color w:val="000000" w:themeColor="text1"/>
              </w:rPr>
            </w:pPr>
            <w:r>
              <w:rPr>
                <w:color w:val="000000" w:themeColor="text1"/>
              </w:rPr>
              <w:t>6</w:t>
            </w:r>
          </w:p>
        </w:tc>
      </w:tr>
      <w:tr w:rsidR="00215588" w14:paraId="1878EDA6" w14:textId="77777777" w:rsidTr="00474F99">
        <w:tc>
          <w:tcPr>
            <w:tcW w:w="5845" w:type="dxa"/>
          </w:tcPr>
          <w:p w14:paraId="69053BF1" w14:textId="49069305" w:rsidR="00215588" w:rsidRDefault="00306A34" w:rsidP="003D6099">
            <w:pPr>
              <w:pStyle w:val="ListParagraph"/>
              <w:ind w:left="0"/>
              <w:rPr>
                <w:color w:val="000000" w:themeColor="text1"/>
              </w:rPr>
            </w:pPr>
            <w:r>
              <w:rPr>
                <w:color w:val="000000" w:themeColor="text1"/>
              </w:rPr>
              <w:t>Nucleas</w:t>
            </w:r>
            <w:r w:rsidR="00474F99">
              <w:rPr>
                <w:color w:val="000000" w:themeColor="text1"/>
              </w:rPr>
              <w:t>e</w:t>
            </w:r>
            <w:r>
              <w:rPr>
                <w:color w:val="000000" w:themeColor="text1"/>
              </w:rPr>
              <w:t xml:space="preserve"> free water (Ambion </w:t>
            </w:r>
            <w:r>
              <w:rPr>
                <w:rFonts w:ascii="Arial" w:hAnsi="Arial" w:cs="Arial"/>
                <w:color w:val="000000"/>
                <w:sz w:val="20"/>
                <w:szCs w:val="20"/>
              </w:rPr>
              <w:t>AM9937)</w:t>
            </w:r>
          </w:p>
        </w:tc>
        <w:tc>
          <w:tcPr>
            <w:tcW w:w="2785" w:type="dxa"/>
          </w:tcPr>
          <w:p w14:paraId="08D96EB6" w14:textId="77777777" w:rsidR="00215588" w:rsidRDefault="00215588" w:rsidP="003D6099">
            <w:pPr>
              <w:pStyle w:val="ListParagraph"/>
              <w:ind w:left="0"/>
              <w:rPr>
                <w:color w:val="000000" w:themeColor="text1"/>
              </w:rPr>
            </w:pPr>
            <w:r>
              <w:rPr>
                <w:color w:val="000000" w:themeColor="text1"/>
              </w:rPr>
              <w:t>800</w:t>
            </w:r>
          </w:p>
        </w:tc>
      </w:tr>
    </w:tbl>
    <w:p w14:paraId="3F5B5C6C" w14:textId="77777777" w:rsidR="00215588" w:rsidRPr="00FF6CE0" w:rsidRDefault="00215588" w:rsidP="00215588">
      <w:pPr>
        <w:pStyle w:val="ListParagraph"/>
        <w:rPr>
          <w:b/>
          <w:bCs/>
        </w:rPr>
      </w:pPr>
    </w:p>
    <w:p w14:paraId="062CE90F" w14:textId="37EFC61F" w:rsidR="00BB0CD5" w:rsidRDefault="00F87325" w:rsidP="00474F99">
      <w:pPr>
        <w:pStyle w:val="ListParagraph"/>
        <w:numPr>
          <w:ilvl w:val="0"/>
          <w:numId w:val="4"/>
        </w:numPr>
        <w:rPr>
          <w:b/>
          <w:bCs/>
        </w:rPr>
      </w:pPr>
      <w:r w:rsidRPr="003A7E5D">
        <w:rPr>
          <w:b/>
          <w:bCs/>
        </w:rPr>
        <w:t>Library mix</w:t>
      </w:r>
      <w:r w:rsidR="00DF2E9A">
        <w:rPr>
          <w:b/>
          <w:bCs/>
        </w:rPr>
        <w:t xml:space="preserve"> recipe</w:t>
      </w:r>
    </w:p>
    <w:p w14:paraId="4A5939B1" w14:textId="27EEA014" w:rsidR="00207032" w:rsidRPr="0007488E" w:rsidRDefault="0007488E" w:rsidP="006742FA">
      <w:pPr>
        <w:pStyle w:val="ListParagraph"/>
      </w:pPr>
      <w:r w:rsidRPr="0007488E">
        <w:rPr>
          <w:color w:val="000000" w:themeColor="text1"/>
        </w:rPr>
        <w:t xml:space="preserve">Universal WGA primer </w:t>
      </w:r>
      <w:r w:rsidRPr="0007488E">
        <w:t>5</w:t>
      </w:r>
      <w:r>
        <w:t>’</w:t>
      </w:r>
      <w:r w:rsidRPr="0007488E">
        <w:t>-TGTGTTGGGTGTGTTTGGKKKKKKKKKKNN-</w:t>
      </w:r>
      <w:r>
        <w:t xml:space="preserve">3’ </w:t>
      </w:r>
      <w:r w:rsidRPr="0007488E">
        <w:t>(30 bp)</w:t>
      </w:r>
    </w:p>
    <w:p w14:paraId="17731D0C" w14:textId="5E98282D" w:rsidR="00BB0CD5" w:rsidRPr="00AF7670" w:rsidRDefault="00BB0CD5" w:rsidP="00BB0CD5">
      <w:pPr>
        <w:pStyle w:val="ListParagraph"/>
      </w:pPr>
      <w:r w:rsidRPr="00AF7670">
        <w:t>For 96-well plate-</w:t>
      </w:r>
    </w:p>
    <w:tbl>
      <w:tblPr>
        <w:tblStyle w:val="TableGrid"/>
        <w:tblW w:w="0" w:type="auto"/>
        <w:tblInd w:w="720" w:type="dxa"/>
        <w:tblLook w:val="04A0" w:firstRow="1" w:lastRow="0" w:firstColumn="1" w:lastColumn="0" w:noHBand="0" w:noVBand="1"/>
      </w:tblPr>
      <w:tblGrid>
        <w:gridCol w:w="4405"/>
        <w:gridCol w:w="1350"/>
        <w:gridCol w:w="1350"/>
        <w:gridCol w:w="1525"/>
      </w:tblGrid>
      <w:tr w:rsidR="00BB0CD5" w14:paraId="49597C32" w14:textId="77777777" w:rsidTr="00474F99">
        <w:tc>
          <w:tcPr>
            <w:tcW w:w="4405" w:type="dxa"/>
          </w:tcPr>
          <w:p w14:paraId="4D3621E3" w14:textId="77777777" w:rsidR="00BB0CD5" w:rsidRPr="0026237A" w:rsidRDefault="00BB0CD5" w:rsidP="003D6099">
            <w:pPr>
              <w:pStyle w:val="ListParagraph"/>
              <w:ind w:left="0"/>
              <w:rPr>
                <w:b/>
                <w:bCs/>
                <w:color w:val="000000" w:themeColor="text1"/>
              </w:rPr>
            </w:pPr>
            <w:r w:rsidRPr="0026237A">
              <w:rPr>
                <w:b/>
                <w:bCs/>
                <w:color w:val="000000" w:themeColor="text1"/>
              </w:rPr>
              <w:t>Reagent</w:t>
            </w:r>
          </w:p>
        </w:tc>
        <w:tc>
          <w:tcPr>
            <w:tcW w:w="1350" w:type="dxa"/>
          </w:tcPr>
          <w:p w14:paraId="30BED277" w14:textId="77777777" w:rsidR="00BB0CD5" w:rsidRPr="0026237A" w:rsidRDefault="00BB0CD5" w:rsidP="003D6099">
            <w:pPr>
              <w:pStyle w:val="ListParagraph"/>
              <w:ind w:left="0"/>
              <w:rPr>
                <w:b/>
                <w:bCs/>
                <w:color w:val="000000" w:themeColor="text1"/>
              </w:rPr>
            </w:pPr>
            <w:r w:rsidRPr="0026237A">
              <w:rPr>
                <w:b/>
                <w:bCs/>
                <w:color w:val="000000" w:themeColor="text1"/>
              </w:rPr>
              <w:t>Stock conc</w:t>
            </w:r>
          </w:p>
        </w:tc>
        <w:tc>
          <w:tcPr>
            <w:tcW w:w="1350" w:type="dxa"/>
          </w:tcPr>
          <w:p w14:paraId="239CE045" w14:textId="77777777" w:rsidR="00BB0CD5" w:rsidRPr="0026237A" w:rsidRDefault="00BB0CD5" w:rsidP="003D6099">
            <w:pPr>
              <w:pStyle w:val="ListParagraph"/>
              <w:ind w:left="0"/>
              <w:rPr>
                <w:b/>
                <w:bCs/>
                <w:color w:val="000000" w:themeColor="text1"/>
              </w:rPr>
            </w:pPr>
            <w:r w:rsidRPr="0026237A">
              <w:rPr>
                <w:b/>
                <w:bCs/>
                <w:color w:val="000000" w:themeColor="text1"/>
              </w:rPr>
              <w:t>Final conc</w:t>
            </w:r>
          </w:p>
        </w:tc>
        <w:tc>
          <w:tcPr>
            <w:tcW w:w="1525" w:type="dxa"/>
          </w:tcPr>
          <w:p w14:paraId="54548404" w14:textId="77777777" w:rsidR="00BB0CD5" w:rsidRPr="0026237A" w:rsidRDefault="00BB0CD5" w:rsidP="003D6099">
            <w:pPr>
              <w:pStyle w:val="ListParagraph"/>
              <w:ind w:left="0"/>
              <w:rPr>
                <w:b/>
                <w:bCs/>
                <w:color w:val="000000" w:themeColor="text1"/>
              </w:rPr>
            </w:pPr>
            <w:r w:rsidRPr="0026237A">
              <w:rPr>
                <w:b/>
                <w:bCs/>
                <w:color w:val="000000" w:themeColor="text1"/>
              </w:rPr>
              <w:t>Volume (ul)</w:t>
            </w:r>
          </w:p>
        </w:tc>
      </w:tr>
      <w:tr w:rsidR="00BB0CD5" w14:paraId="14689457" w14:textId="77777777" w:rsidTr="00474F99">
        <w:tc>
          <w:tcPr>
            <w:tcW w:w="4405" w:type="dxa"/>
          </w:tcPr>
          <w:p w14:paraId="08FE75D7" w14:textId="03FBD981" w:rsidR="00BB0CD5" w:rsidRPr="00AF7670" w:rsidRDefault="00BB0CD5" w:rsidP="00AF7670">
            <w:pPr>
              <w:rPr>
                <w:b/>
                <w:bCs/>
              </w:rPr>
            </w:pPr>
            <w:r w:rsidRPr="00AF7670">
              <w:rPr>
                <w:color w:val="000000" w:themeColor="text1"/>
              </w:rPr>
              <w:t>dNTPs</w:t>
            </w:r>
            <w:r w:rsidR="00AF7670" w:rsidRPr="00AF7670">
              <w:rPr>
                <w:color w:val="000000" w:themeColor="text1"/>
              </w:rPr>
              <w:t xml:space="preserve"> </w:t>
            </w:r>
            <w:r w:rsidR="00AF7670">
              <w:t xml:space="preserve">(Life Technologies - </w:t>
            </w:r>
            <w:r w:rsidR="00AF7670" w:rsidRPr="00AF7670">
              <w:rPr>
                <w:rFonts w:ascii="Arial" w:hAnsi="Arial" w:cs="Arial"/>
                <w:color w:val="000000"/>
                <w:sz w:val="20"/>
                <w:szCs w:val="20"/>
              </w:rPr>
              <w:t>18427-013)</w:t>
            </w:r>
          </w:p>
        </w:tc>
        <w:tc>
          <w:tcPr>
            <w:tcW w:w="1350" w:type="dxa"/>
          </w:tcPr>
          <w:p w14:paraId="24FB6D42" w14:textId="77777777" w:rsidR="00BB0CD5" w:rsidRDefault="00BB0CD5" w:rsidP="003D6099">
            <w:pPr>
              <w:pStyle w:val="ListParagraph"/>
              <w:ind w:left="0"/>
              <w:rPr>
                <w:color w:val="000000" w:themeColor="text1"/>
              </w:rPr>
            </w:pPr>
            <w:r>
              <w:rPr>
                <w:color w:val="000000" w:themeColor="text1"/>
              </w:rPr>
              <w:t>2 mM</w:t>
            </w:r>
          </w:p>
        </w:tc>
        <w:tc>
          <w:tcPr>
            <w:tcW w:w="1350" w:type="dxa"/>
          </w:tcPr>
          <w:p w14:paraId="5C9B40A3" w14:textId="77777777" w:rsidR="00BB0CD5" w:rsidRDefault="00BB0CD5" w:rsidP="003D6099">
            <w:pPr>
              <w:pStyle w:val="ListParagraph"/>
              <w:ind w:left="0"/>
              <w:rPr>
                <w:color w:val="000000" w:themeColor="text1"/>
              </w:rPr>
            </w:pPr>
            <w:r>
              <w:rPr>
                <w:color w:val="000000" w:themeColor="text1"/>
              </w:rPr>
              <w:t>0.2 mM</w:t>
            </w:r>
          </w:p>
        </w:tc>
        <w:tc>
          <w:tcPr>
            <w:tcW w:w="1525" w:type="dxa"/>
          </w:tcPr>
          <w:p w14:paraId="4B0B87E1" w14:textId="77777777" w:rsidR="00BB0CD5" w:rsidRDefault="00BB0CD5" w:rsidP="003D6099">
            <w:pPr>
              <w:pStyle w:val="ListParagraph"/>
              <w:ind w:left="0"/>
              <w:rPr>
                <w:color w:val="000000" w:themeColor="text1"/>
              </w:rPr>
            </w:pPr>
            <w:r>
              <w:rPr>
                <w:color w:val="000000" w:themeColor="text1"/>
              </w:rPr>
              <w:t>21</w:t>
            </w:r>
          </w:p>
        </w:tc>
      </w:tr>
      <w:tr w:rsidR="00BB0CD5" w14:paraId="79D8DA4F" w14:textId="77777777" w:rsidTr="00474F99">
        <w:tc>
          <w:tcPr>
            <w:tcW w:w="4405" w:type="dxa"/>
          </w:tcPr>
          <w:p w14:paraId="0B0F79AB" w14:textId="78200B6D" w:rsidR="00BB0CD5" w:rsidRDefault="00BB0CD5" w:rsidP="003D6099">
            <w:pPr>
              <w:pStyle w:val="ListParagraph"/>
              <w:ind w:left="0"/>
              <w:rPr>
                <w:color w:val="000000" w:themeColor="text1"/>
              </w:rPr>
            </w:pPr>
            <w:r>
              <w:rPr>
                <w:color w:val="000000" w:themeColor="text1"/>
              </w:rPr>
              <w:t>MgCl2</w:t>
            </w:r>
            <w:r w:rsidR="00AF7670">
              <w:rPr>
                <w:color w:val="000000" w:themeColor="text1"/>
              </w:rPr>
              <w:t xml:space="preserve"> </w:t>
            </w:r>
            <w:r w:rsidR="00AF7670">
              <w:t xml:space="preserve">(Ambion- </w:t>
            </w:r>
            <w:r w:rsidR="00AF7670">
              <w:rPr>
                <w:rFonts w:ascii="Arial" w:hAnsi="Arial" w:cs="Arial"/>
                <w:color w:val="000000"/>
                <w:sz w:val="20"/>
                <w:szCs w:val="20"/>
              </w:rPr>
              <w:t>AM9530G)</w:t>
            </w:r>
          </w:p>
        </w:tc>
        <w:tc>
          <w:tcPr>
            <w:tcW w:w="1350" w:type="dxa"/>
          </w:tcPr>
          <w:p w14:paraId="6BBB411A" w14:textId="77777777" w:rsidR="00BB0CD5" w:rsidRDefault="00BB0CD5" w:rsidP="003D6099">
            <w:pPr>
              <w:pStyle w:val="ListParagraph"/>
              <w:ind w:left="0"/>
              <w:rPr>
                <w:color w:val="000000" w:themeColor="text1"/>
              </w:rPr>
            </w:pPr>
            <w:r>
              <w:rPr>
                <w:color w:val="000000" w:themeColor="text1"/>
              </w:rPr>
              <w:t>1000 mM</w:t>
            </w:r>
          </w:p>
        </w:tc>
        <w:tc>
          <w:tcPr>
            <w:tcW w:w="1350" w:type="dxa"/>
          </w:tcPr>
          <w:p w14:paraId="09BD7431" w14:textId="77777777" w:rsidR="00BB0CD5" w:rsidRDefault="00BB0CD5" w:rsidP="003D6099">
            <w:pPr>
              <w:pStyle w:val="ListParagraph"/>
              <w:ind w:left="0"/>
              <w:rPr>
                <w:color w:val="000000" w:themeColor="text1"/>
              </w:rPr>
            </w:pPr>
            <w:r>
              <w:rPr>
                <w:color w:val="000000" w:themeColor="text1"/>
              </w:rPr>
              <w:t>30 mM</w:t>
            </w:r>
          </w:p>
        </w:tc>
        <w:tc>
          <w:tcPr>
            <w:tcW w:w="1525" w:type="dxa"/>
          </w:tcPr>
          <w:p w14:paraId="441F24F0" w14:textId="77777777" w:rsidR="00BB0CD5" w:rsidRDefault="00BB0CD5" w:rsidP="003D6099">
            <w:pPr>
              <w:pStyle w:val="ListParagraph"/>
              <w:ind w:left="0"/>
              <w:rPr>
                <w:color w:val="000000" w:themeColor="text1"/>
              </w:rPr>
            </w:pPr>
            <w:r>
              <w:rPr>
                <w:color w:val="000000" w:themeColor="text1"/>
              </w:rPr>
              <w:t>6.3</w:t>
            </w:r>
          </w:p>
        </w:tc>
      </w:tr>
      <w:tr w:rsidR="00BB0CD5" w14:paraId="77481124" w14:textId="77777777" w:rsidTr="00474F99">
        <w:tc>
          <w:tcPr>
            <w:tcW w:w="4405" w:type="dxa"/>
          </w:tcPr>
          <w:p w14:paraId="0F3C01B6" w14:textId="00635D45" w:rsidR="00BB0CD5" w:rsidRDefault="00BB0CD5" w:rsidP="003D6099">
            <w:pPr>
              <w:pStyle w:val="ListParagraph"/>
              <w:ind w:left="0"/>
              <w:rPr>
                <w:color w:val="000000" w:themeColor="text1"/>
              </w:rPr>
            </w:pPr>
            <w:r>
              <w:rPr>
                <w:color w:val="000000" w:themeColor="text1"/>
              </w:rPr>
              <w:t>Universal WGA primer</w:t>
            </w:r>
            <w:r w:rsidR="00AF7670">
              <w:rPr>
                <w:color w:val="000000" w:themeColor="text1"/>
              </w:rPr>
              <w:t xml:space="preserve"> </w:t>
            </w:r>
          </w:p>
        </w:tc>
        <w:tc>
          <w:tcPr>
            <w:tcW w:w="1350" w:type="dxa"/>
          </w:tcPr>
          <w:p w14:paraId="0C1A6415" w14:textId="77777777" w:rsidR="00BB0CD5" w:rsidRDefault="00BB0CD5" w:rsidP="003D6099">
            <w:pPr>
              <w:pStyle w:val="ListParagraph"/>
              <w:ind w:left="0"/>
              <w:rPr>
                <w:color w:val="000000" w:themeColor="text1"/>
              </w:rPr>
            </w:pPr>
            <w:r>
              <w:rPr>
                <w:color w:val="000000" w:themeColor="text1"/>
              </w:rPr>
              <w:t>100 uM</w:t>
            </w:r>
          </w:p>
        </w:tc>
        <w:tc>
          <w:tcPr>
            <w:tcW w:w="1350" w:type="dxa"/>
          </w:tcPr>
          <w:p w14:paraId="6B7E3F9C" w14:textId="77777777" w:rsidR="00BB0CD5" w:rsidRDefault="00BB0CD5" w:rsidP="003D6099">
            <w:pPr>
              <w:pStyle w:val="ListParagraph"/>
              <w:ind w:left="0"/>
              <w:rPr>
                <w:color w:val="000000" w:themeColor="text1"/>
              </w:rPr>
            </w:pPr>
            <w:r>
              <w:rPr>
                <w:color w:val="000000" w:themeColor="text1"/>
              </w:rPr>
              <w:t>50 uM</w:t>
            </w:r>
          </w:p>
        </w:tc>
        <w:tc>
          <w:tcPr>
            <w:tcW w:w="1525" w:type="dxa"/>
          </w:tcPr>
          <w:p w14:paraId="655B3689" w14:textId="77777777" w:rsidR="00BB0CD5" w:rsidRDefault="00BB0CD5" w:rsidP="003D6099">
            <w:pPr>
              <w:pStyle w:val="ListParagraph"/>
              <w:ind w:left="0"/>
              <w:rPr>
                <w:color w:val="000000" w:themeColor="text1"/>
              </w:rPr>
            </w:pPr>
            <w:r>
              <w:rPr>
                <w:color w:val="000000" w:themeColor="text1"/>
              </w:rPr>
              <w:t>105</w:t>
            </w:r>
          </w:p>
        </w:tc>
      </w:tr>
      <w:tr w:rsidR="00BB0CD5" w14:paraId="303B509C" w14:textId="77777777" w:rsidTr="00474F99">
        <w:tc>
          <w:tcPr>
            <w:tcW w:w="4405" w:type="dxa"/>
          </w:tcPr>
          <w:p w14:paraId="22C67715" w14:textId="539CA699" w:rsidR="00BB0CD5" w:rsidRPr="00AF7670" w:rsidRDefault="00AF7670" w:rsidP="00AF7670">
            <w:r>
              <w:t xml:space="preserve">Nuclease free water (Ambion- </w:t>
            </w:r>
            <w:r w:rsidRPr="00AF7670">
              <w:rPr>
                <w:rFonts w:ascii="Arial" w:hAnsi="Arial" w:cs="Arial"/>
                <w:color w:val="000000"/>
                <w:sz w:val="20"/>
                <w:szCs w:val="20"/>
              </w:rPr>
              <w:t>AM9937)</w:t>
            </w:r>
          </w:p>
        </w:tc>
        <w:tc>
          <w:tcPr>
            <w:tcW w:w="1350" w:type="dxa"/>
          </w:tcPr>
          <w:p w14:paraId="32D334C6" w14:textId="77777777" w:rsidR="00BB0CD5" w:rsidRDefault="00BB0CD5" w:rsidP="003D6099">
            <w:pPr>
              <w:pStyle w:val="ListParagraph"/>
              <w:ind w:left="0"/>
              <w:rPr>
                <w:color w:val="000000" w:themeColor="text1"/>
              </w:rPr>
            </w:pPr>
          </w:p>
        </w:tc>
        <w:tc>
          <w:tcPr>
            <w:tcW w:w="1350" w:type="dxa"/>
          </w:tcPr>
          <w:p w14:paraId="6B9C6918" w14:textId="77777777" w:rsidR="00BB0CD5" w:rsidRDefault="00BB0CD5" w:rsidP="003D6099">
            <w:pPr>
              <w:pStyle w:val="ListParagraph"/>
              <w:ind w:left="0"/>
              <w:rPr>
                <w:color w:val="000000" w:themeColor="text1"/>
              </w:rPr>
            </w:pPr>
          </w:p>
        </w:tc>
        <w:tc>
          <w:tcPr>
            <w:tcW w:w="1525" w:type="dxa"/>
          </w:tcPr>
          <w:p w14:paraId="6A789D66" w14:textId="77777777" w:rsidR="00BB0CD5" w:rsidRDefault="00BB0CD5" w:rsidP="003D6099">
            <w:pPr>
              <w:pStyle w:val="ListParagraph"/>
              <w:ind w:left="0"/>
              <w:rPr>
                <w:color w:val="000000" w:themeColor="text1"/>
              </w:rPr>
            </w:pPr>
            <w:r>
              <w:rPr>
                <w:color w:val="000000" w:themeColor="text1"/>
              </w:rPr>
              <w:t>77.7</w:t>
            </w:r>
          </w:p>
        </w:tc>
      </w:tr>
      <w:tr w:rsidR="00BB0CD5" w14:paraId="75083E0D" w14:textId="77777777" w:rsidTr="00474F99">
        <w:tc>
          <w:tcPr>
            <w:tcW w:w="4405" w:type="dxa"/>
          </w:tcPr>
          <w:p w14:paraId="6E90427E" w14:textId="77777777" w:rsidR="00BB0CD5" w:rsidRPr="00C566A0" w:rsidRDefault="00BB0CD5" w:rsidP="003D6099">
            <w:pPr>
              <w:pStyle w:val="ListParagraph"/>
              <w:ind w:left="0"/>
              <w:rPr>
                <w:b/>
                <w:bCs/>
                <w:color w:val="000000" w:themeColor="text1"/>
              </w:rPr>
            </w:pPr>
            <w:r w:rsidRPr="00C566A0">
              <w:rPr>
                <w:b/>
                <w:bCs/>
                <w:color w:val="000000" w:themeColor="text1"/>
              </w:rPr>
              <w:t>Total Volume (uL)</w:t>
            </w:r>
          </w:p>
        </w:tc>
        <w:tc>
          <w:tcPr>
            <w:tcW w:w="1350" w:type="dxa"/>
          </w:tcPr>
          <w:p w14:paraId="2F53C31A" w14:textId="77777777" w:rsidR="00BB0CD5" w:rsidRDefault="00BB0CD5" w:rsidP="003D6099">
            <w:pPr>
              <w:pStyle w:val="ListParagraph"/>
              <w:ind w:left="0"/>
              <w:rPr>
                <w:color w:val="000000" w:themeColor="text1"/>
              </w:rPr>
            </w:pPr>
          </w:p>
        </w:tc>
        <w:tc>
          <w:tcPr>
            <w:tcW w:w="1350" w:type="dxa"/>
          </w:tcPr>
          <w:p w14:paraId="3B708281" w14:textId="77777777" w:rsidR="00BB0CD5" w:rsidRDefault="00BB0CD5" w:rsidP="003D6099">
            <w:pPr>
              <w:pStyle w:val="ListParagraph"/>
              <w:ind w:left="0"/>
              <w:rPr>
                <w:color w:val="000000" w:themeColor="text1"/>
              </w:rPr>
            </w:pPr>
          </w:p>
        </w:tc>
        <w:tc>
          <w:tcPr>
            <w:tcW w:w="1525" w:type="dxa"/>
          </w:tcPr>
          <w:p w14:paraId="664B6255" w14:textId="77777777" w:rsidR="00BB0CD5" w:rsidRPr="00C566A0" w:rsidRDefault="00BB0CD5" w:rsidP="003D6099">
            <w:pPr>
              <w:pStyle w:val="ListParagraph"/>
              <w:ind w:left="0"/>
              <w:rPr>
                <w:b/>
                <w:bCs/>
                <w:color w:val="000000" w:themeColor="text1"/>
              </w:rPr>
            </w:pPr>
            <w:r w:rsidRPr="00C566A0">
              <w:rPr>
                <w:b/>
                <w:bCs/>
                <w:color w:val="000000" w:themeColor="text1"/>
              </w:rPr>
              <w:t>210</w:t>
            </w:r>
          </w:p>
        </w:tc>
      </w:tr>
    </w:tbl>
    <w:p w14:paraId="7B9CE625" w14:textId="77777777" w:rsidR="00BB0CD5" w:rsidRPr="006668D0" w:rsidRDefault="00BB0CD5" w:rsidP="00BB0CD5">
      <w:pPr>
        <w:pStyle w:val="ListParagraph"/>
        <w:rPr>
          <w:b/>
          <w:bCs/>
        </w:rPr>
      </w:pPr>
    </w:p>
    <w:p w14:paraId="1E97B1E8" w14:textId="4AB9557B" w:rsidR="00F87325" w:rsidRDefault="00F87325" w:rsidP="006B44CC">
      <w:pPr>
        <w:pStyle w:val="ListParagraph"/>
        <w:numPr>
          <w:ilvl w:val="0"/>
          <w:numId w:val="4"/>
        </w:numPr>
      </w:pPr>
      <w:r w:rsidRPr="000F7875">
        <w:t>Klenow Fragment of DNA polymerase</w:t>
      </w:r>
      <w:r w:rsidR="009F6F10">
        <w:t xml:space="preserve"> (NEB- </w:t>
      </w:r>
      <w:r w:rsidR="009F6F10">
        <w:rPr>
          <w:rFonts w:ascii="Arial" w:hAnsi="Arial" w:cs="Arial"/>
          <w:color w:val="000000"/>
          <w:sz w:val="20"/>
          <w:szCs w:val="20"/>
        </w:rPr>
        <w:t>M0210L</w:t>
      </w:r>
      <w:r w:rsidR="009F6F10">
        <w:rPr>
          <w:rFonts w:ascii="Arial" w:hAnsi="Arial" w:cs="Arial"/>
          <w:color w:val="000000"/>
          <w:sz w:val="20"/>
          <w:szCs w:val="20"/>
        </w:rPr>
        <w:t>)</w:t>
      </w:r>
    </w:p>
    <w:p w14:paraId="17F38A0B" w14:textId="1618F5C4" w:rsidR="00207032" w:rsidRPr="00E756D7" w:rsidRDefault="00F87325" w:rsidP="00E756D7">
      <w:pPr>
        <w:pStyle w:val="ListParagraph"/>
        <w:numPr>
          <w:ilvl w:val="0"/>
          <w:numId w:val="4"/>
        </w:numPr>
        <w:rPr>
          <w:b/>
          <w:bCs/>
        </w:rPr>
      </w:pPr>
      <w:r w:rsidRPr="00236114">
        <w:rPr>
          <w:b/>
          <w:bCs/>
        </w:rPr>
        <w:t>PCR master mix</w:t>
      </w:r>
    </w:p>
    <w:p w14:paraId="2EC6382A" w14:textId="5EA74A15" w:rsidR="00236114" w:rsidRDefault="00236114" w:rsidP="00236114">
      <w:pPr>
        <w:pStyle w:val="ListParagraph"/>
      </w:pPr>
      <w:r>
        <w:t>For 96 well plate-</w:t>
      </w:r>
    </w:p>
    <w:tbl>
      <w:tblPr>
        <w:tblStyle w:val="TableGrid"/>
        <w:tblW w:w="0" w:type="auto"/>
        <w:tblInd w:w="720" w:type="dxa"/>
        <w:tblLook w:val="04A0" w:firstRow="1" w:lastRow="0" w:firstColumn="1" w:lastColumn="0" w:noHBand="0" w:noVBand="1"/>
      </w:tblPr>
      <w:tblGrid>
        <w:gridCol w:w="2869"/>
        <w:gridCol w:w="2871"/>
        <w:gridCol w:w="2890"/>
      </w:tblGrid>
      <w:tr w:rsidR="00236114" w14:paraId="7848AE88" w14:textId="77777777" w:rsidTr="003D6099">
        <w:tc>
          <w:tcPr>
            <w:tcW w:w="3116" w:type="dxa"/>
          </w:tcPr>
          <w:p w14:paraId="524A5766" w14:textId="77777777" w:rsidR="00236114" w:rsidRDefault="00236114" w:rsidP="003D6099">
            <w:pPr>
              <w:pStyle w:val="ListParagraph"/>
              <w:ind w:left="0"/>
              <w:rPr>
                <w:color w:val="000000" w:themeColor="text1"/>
              </w:rPr>
            </w:pPr>
            <w:r>
              <w:rPr>
                <w:color w:val="000000" w:themeColor="text1"/>
              </w:rPr>
              <w:t>Reagent</w:t>
            </w:r>
          </w:p>
        </w:tc>
        <w:tc>
          <w:tcPr>
            <w:tcW w:w="3117" w:type="dxa"/>
          </w:tcPr>
          <w:p w14:paraId="0907BCA0" w14:textId="77777777" w:rsidR="00236114" w:rsidRDefault="00236114" w:rsidP="003D6099">
            <w:pPr>
              <w:pStyle w:val="ListParagraph"/>
              <w:ind w:left="0"/>
              <w:rPr>
                <w:color w:val="000000" w:themeColor="text1"/>
              </w:rPr>
            </w:pPr>
            <w:r>
              <w:rPr>
                <w:color w:val="000000" w:themeColor="text1"/>
              </w:rPr>
              <w:t>Per reaction (uL)</w:t>
            </w:r>
          </w:p>
        </w:tc>
        <w:tc>
          <w:tcPr>
            <w:tcW w:w="3117" w:type="dxa"/>
          </w:tcPr>
          <w:p w14:paraId="08DBEE11" w14:textId="77777777" w:rsidR="00236114" w:rsidRDefault="00236114" w:rsidP="003D6099">
            <w:pPr>
              <w:pStyle w:val="ListParagraph"/>
              <w:ind w:left="0"/>
              <w:rPr>
                <w:color w:val="000000" w:themeColor="text1"/>
              </w:rPr>
            </w:pPr>
            <w:r>
              <w:rPr>
                <w:color w:val="000000" w:themeColor="text1"/>
              </w:rPr>
              <w:t>Per plate (105 reactions)</w:t>
            </w:r>
          </w:p>
        </w:tc>
      </w:tr>
      <w:tr w:rsidR="00236114" w14:paraId="3DBD4AE0" w14:textId="77777777" w:rsidTr="003D6099">
        <w:tc>
          <w:tcPr>
            <w:tcW w:w="3116" w:type="dxa"/>
          </w:tcPr>
          <w:p w14:paraId="175C85A1" w14:textId="77777777" w:rsidR="00236114" w:rsidRDefault="00236114" w:rsidP="003D6099">
            <w:pPr>
              <w:pStyle w:val="ListParagraph"/>
              <w:ind w:left="0"/>
              <w:rPr>
                <w:color w:val="000000" w:themeColor="text1"/>
              </w:rPr>
            </w:pPr>
            <w:r w:rsidRPr="00062C01">
              <w:rPr>
                <w:color w:val="000000" w:themeColor="text1"/>
              </w:rPr>
              <w:t>5× Taq Master</w:t>
            </w:r>
            <w:r>
              <w:rPr>
                <w:color w:val="000000" w:themeColor="text1"/>
              </w:rPr>
              <w:t xml:space="preserve"> </w:t>
            </w:r>
            <w:r w:rsidRPr="00062C01">
              <w:rPr>
                <w:color w:val="000000" w:themeColor="text1"/>
              </w:rPr>
              <w:t>mix</w:t>
            </w:r>
          </w:p>
        </w:tc>
        <w:tc>
          <w:tcPr>
            <w:tcW w:w="3117" w:type="dxa"/>
          </w:tcPr>
          <w:p w14:paraId="537F2C75" w14:textId="77777777" w:rsidR="00236114" w:rsidRDefault="00236114" w:rsidP="003D6099">
            <w:pPr>
              <w:pStyle w:val="ListParagraph"/>
              <w:ind w:left="0"/>
              <w:rPr>
                <w:color w:val="000000" w:themeColor="text1"/>
              </w:rPr>
            </w:pPr>
            <w:r>
              <w:rPr>
                <w:color w:val="000000" w:themeColor="text1"/>
              </w:rPr>
              <w:t>20 uL</w:t>
            </w:r>
          </w:p>
        </w:tc>
        <w:tc>
          <w:tcPr>
            <w:tcW w:w="3117" w:type="dxa"/>
          </w:tcPr>
          <w:p w14:paraId="50D95C78" w14:textId="77777777" w:rsidR="00236114" w:rsidRDefault="00236114" w:rsidP="003D6099">
            <w:pPr>
              <w:pStyle w:val="ListParagraph"/>
              <w:ind w:left="0"/>
              <w:rPr>
                <w:color w:val="000000" w:themeColor="text1"/>
              </w:rPr>
            </w:pPr>
            <w:r>
              <w:rPr>
                <w:color w:val="000000" w:themeColor="text1"/>
              </w:rPr>
              <w:t>2100 uL</w:t>
            </w:r>
          </w:p>
        </w:tc>
      </w:tr>
      <w:tr w:rsidR="00236114" w14:paraId="3DB463D0" w14:textId="77777777" w:rsidTr="003D6099">
        <w:tc>
          <w:tcPr>
            <w:tcW w:w="3116" w:type="dxa"/>
          </w:tcPr>
          <w:p w14:paraId="21EE40B4" w14:textId="77777777" w:rsidR="00236114" w:rsidRDefault="00236114" w:rsidP="003D6099">
            <w:pPr>
              <w:pStyle w:val="ListParagraph"/>
              <w:ind w:left="0"/>
              <w:rPr>
                <w:color w:val="000000" w:themeColor="text1"/>
              </w:rPr>
            </w:pPr>
            <w:r>
              <w:rPr>
                <w:color w:val="000000" w:themeColor="text1"/>
              </w:rPr>
              <w:t>ddH2O</w:t>
            </w:r>
          </w:p>
        </w:tc>
        <w:tc>
          <w:tcPr>
            <w:tcW w:w="3117" w:type="dxa"/>
          </w:tcPr>
          <w:p w14:paraId="4C34FE40" w14:textId="77777777" w:rsidR="00236114" w:rsidRDefault="00236114" w:rsidP="003D6099">
            <w:pPr>
              <w:pStyle w:val="ListParagraph"/>
              <w:ind w:left="0"/>
              <w:rPr>
                <w:color w:val="000000" w:themeColor="text1"/>
              </w:rPr>
            </w:pPr>
            <w:r>
              <w:rPr>
                <w:color w:val="000000" w:themeColor="text1"/>
              </w:rPr>
              <w:t>58 uL</w:t>
            </w:r>
          </w:p>
        </w:tc>
        <w:tc>
          <w:tcPr>
            <w:tcW w:w="3117" w:type="dxa"/>
          </w:tcPr>
          <w:p w14:paraId="280AB452" w14:textId="77777777" w:rsidR="00236114" w:rsidRDefault="00236114" w:rsidP="003D6099">
            <w:pPr>
              <w:pStyle w:val="ListParagraph"/>
              <w:ind w:left="0"/>
              <w:rPr>
                <w:color w:val="000000" w:themeColor="text1"/>
              </w:rPr>
            </w:pPr>
            <w:r>
              <w:rPr>
                <w:color w:val="000000" w:themeColor="text1"/>
              </w:rPr>
              <w:t>6090 uL</w:t>
            </w:r>
          </w:p>
        </w:tc>
      </w:tr>
    </w:tbl>
    <w:p w14:paraId="01D9F149" w14:textId="77777777" w:rsidR="00236114" w:rsidRDefault="00236114" w:rsidP="00236114"/>
    <w:p w14:paraId="1ACA61C7" w14:textId="366694CC" w:rsidR="00F87325" w:rsidRPr="00CF6CBB" w:rsidRDefault="00716700" w:rsidP="006B44CC">
      <w:pPr>
        <w:pStyle w:val="ListParagraph"/>
        <w:numPr>
          <w:ilvl w:val="0"/>
          <w:numId w:val="4"/>
        </w:numPr>
        <w:rPr>
          <w:rFonts w:cstheme="minorHAnsi"/>
          <w:color w:val="000000" w:themeColor="text1"/>
        </w:rPr>
      </w:pPr>
      <w:r w:rsidRPr="00716700">
        <w:rPr>
          <w:rFonts w:cstheme="minorHAnsi"/>
          <w:color w:val="000000" w:themeColor="text1"/>
        </w:rPr>
        <w:t>WGA</w:t>
      </w:r>
      <w:r>
        <w:rPr>
          <w:rFonts w:cstheme="minorHAnsi"/>
          <w:color w:val="000000" w:themeColor="text1"/>
        </w:rPr>
        <w:t>_</w:t>
      </w:r>
      <w:r w:rsidRPr="00716700">
        <w:rPr>
          <w:rFonts w:cstheme="minorHAnsi"/>
          <w:color w:val="000000" w:themeColor="text1"/>
        </w:rPr>
        <w:t xml:space="preserve">RE </w:t>
      </w:r>
      <w:r>
        <w:rPr>
          <w:rFonts w:cstheme="minorHAnsi"/>
          <w:color w:val="000000" w:themeColor="text1"/>
        </w:rPr>
        <w:t>primer</w:t>
      </w:r>
      <w:r w:rsidRPr="00716700">
        <w:rPr>
          <w:rFonts w:cstheme="minorHAnsi"/>
          <w:color w:val="000000" w:themeColor="text1"/>
        </w:rPr>
        <w:t>- 5'-TTA ATA CTG AAG TTA ATA CTG AAG TGT GTT GGG TGT GTT TGG-3'</w:t>
      </w:r>
    </w:p>
    <w:p w14:paraId="6115D247" w14:textId="77777777" w:rsidR="00F87325" w:rsidRPr="00CF6CBB" w:rsidRDefault="00F87325" w:rsidP="006B44CC">
      <w:pPr>
        <w:pStyle w:val="ListParagraph"/>
        <w:numPr>
          <w:ilvl w:val="0"/>
          <w:numId w:val="4"/>
        </w:numPr>
        <w:rPr>
          <w:rFonts w:cstheme="minorHAnsi"/>
          <w:color w:val="000000" w:themeColor="text1"/>
        </w:rPr>
      </w:pPr>
      <w:r w:rsidRPr="00CF6CBB">
        <w:rPr>
          <w:rFonts w:cstheme="minorHAnsi"/>
          <w:color w:val="000000" w:themeColor="text1"/>
        </w:rPr>
        <w:lastRenderedPageBreak/>
        <w:t>NEB AcuI (R0641) enzyme for RE digestion</w:t>
      </w:r>
    </w:p>
    <w:p w14:paraId="1D30D678" w14:textId="62CDA7F7" w:rsidR="00F87325" w:rsidRPr="00CF6CBB" w:rsidRDefault="00F87325" w:rsidP="006B44CC">
      <w:pPr>
        <w:pStyle w:val="ListParagraph"/>
        <w:numPr>
          <w:ilvl w:val="0"/>
          <w:numId w:val="4"/>
        </w:numPr>
        <w:rPr>
          <w:rFonts w:cstheme="minorHAnsi"/>
          <w:color w:val="000000" w:themeColor="text1"/>
        </w:rPr>
      </w:pPr>
      <w:r w:rsidRPr="00CF6CBB">
        <w:rPr>
          <w:rFonts w:cstheme="minorHAnsi"/>
          <w:color w:val="000000" w:themeColor="text1"/>
        </w:rPr>
        <w:t>10x NEB buffer</w:t>
      </w:r>
      <w:r w:rsidR="00CF6CBB" w:rsidRPr="00CF6CBB">
        <w:rPr>
          <w:rFonts w:cstheme="minorHAnsi"/>
          <w:color w:val="000000" w:themeColor="text1"/>
        </w:rPr>
        <w:t xml:space="preserve"> </w:t>
      </w:r>
      <w:r w:rsidR="00CF6CBB" w:rsidRPr="00CF6CBB">
        <w:rPr>
          <w:rFonts w:cstheme="minorHAnsi"/>
          <w:color w:val="000000" w:themeColor="text1"/>
          <w:shd w:val="clear" w:color="auto" w:fill="FFFFFF"/>
        </w:rPr>
        <w:t>(</w:t>
      </w:r>
      <w:hyperlink r:id="rId5" w:history="1">
        <w:r w:rsidR="00CF6CBB" w:rsidRPr="00DD20F6">
          <w:rPr>
            <w:rStyle w:val="Hyperlink"/>
            <w:rFonts w:cstheme="minorHAnsi"/>
            <w:color w:val="000000" w:themeColor="text1"/>
            <w:u w:val="none"/>
          </w:rPr>
          <w:t>NEB #B6002</w:t>
        </w:r>
      </w:hyperlink>
      <w:r w:rsidR="00CF6CBB" w:rsidRPr="00CF6CBB">
        <w:rPr>
          <w:rFonts w:cstheme="minorHAnsi"/>
          <w:color w:val="000000" w:themeColor="text1"/>
        </w:rPr>
        <w:t>)</w:t>
      </w:r>
    </w:p>
    <w:p w14:paraId="75A089EA" w14:textId="1B2D0054" w:rsidR="00F87325" w:rsidRPr="00F028EC" w:rsidRDefault="00F87325" w:rsidP="006B44CC">
      <w:pPr>
        <w:pStyle w:val="ListParagraph"/>
        <w:numPr>
          <w:ilvl w:val="0"/>
          <w:numId w:val="4"/>
        </w:numPr>
      </w:pPr>
      <w:r w:rsidRPr="00CF6CBB">
        <w:rPr>
          <w:rFonts w:cstheme="minorHAnsi"/>
          <w:color w:val="000000" w:themeColor="text1"/>
          <w:shd w:val="clear" w:color="auto" w:fill="FFFFFF"/>
        </w:rPr>
        <w:t xml:space="preserve">Nextera </w:t>
      </w:r>
      <w:r w:rsidRPr="00CF6CBB">
        <w:rPr>
          <w:rFonts w:cstheme="minorHAnsi"/>
          <w:color w:val="000000" w:themeColor="text1"/>
        </w:rPr>
        <w:t>XT DNA preparation</w:t>
      </w:r>
      <w:r w:rsidRPr="00CF6CBB">
        <w:rPr>
          <w:color w:val="000000" w:themeColor="text1"/>
        </w:rPr>
        <w:t xml:space="preserve"> </w:t>
      </w:r>
      <w:r w:rsidRPr="00F028EC">
        <w:rPr>
          <w:color w:val="000000" w:themeColor="text1"/>
        </w:rPr>
        <w:t>kit</w:t>
      </w:r>
      <w:r w:rsidR="00F028EC" w:rsidRPr="00F028EC">
        <w:rPr>
          <w:color w:val="000000" w:themeColor="text1"/>
        </w:rPr>
        <w:t xml:space="preserve"> (Illumina- </w:t>
      </w:r>
      <w:r w:rsidR="00F028EC" w:rsidRPr="00F028EC">
        <w:rPr>
          <w:color w:val="000000"/>
        </w:rPr>
        <w:t>FC-131-1096</w:t>
      </w:r>
      <w:r w:rsidR="00F028EC" w:rsidRPr="00F028EC">
        <w:rPr>
          <w:color w:val="000000"/>
        </w:rPr>
        <w:t>)</w:t>
      </w:r>
    </w:p>
    <w:p w14:paraId="3BB717A3" w14:textId="77777777" w:rsidR="00A07C6A" w:rsidRPr="00A07C6A" w:rsidRDefault="00F87325" w:rsidP="00A07C6A">
      <w:pPr>
        <w:pStyle w:val="ListParagraph"/>
        <w:numPr>
          <w:ilvl w:val="0"/>
          <w:numId w:val="4"/>
        </w:numPr>
      </w:pPr>
      <w:r w:rsidRPr="00117737">
        <w:rPr>
          <w:rFonts w:cstheme="minorHAnsi"/>
          <w:color w:val="000000" w:themeColor="text1"/>
          <w:shd w:val="clear" w:color="auto" w:fill="FFFFFF"/>
        </w:rPr>
        <w:t>Nextera 96-index kit</w:t>
      </w:r>
      <w:r w:rsidR="00F028EC">
        <w:rPr>
          <w:rFonts w:cstheme="minorHAnsi"/>
          <w:color w:val="000000" w:themeColor="text1"/>
          <w:shd w:val="clear" w:color="auto" w:fill="FFFFFF"/>
        </w:rPr>
        <w:t xml:space="preserve"> </w:t>
      </w:r>
      <w:r w:rsidR="00F028EC" w:rsidRPr="00F028EC">
        <w:rPr>
          <w:rFonts w:cstheme="minorHAnsi"/>
          <w:color w:val="000000" w:themeColor="text1"/>
        </w:rPr>
        <w:t xml:space="preserve">(Illumina- </w:t>
      </w:r>
      <w:r w:rsidR="00F028EC" w:rsidRPr="00F028EC">
        <w:rPr>
          <w:color w:val="000000"/>
        </w:rPr>
        <w:t>FC-131-2001)</w:t>
      </w:r>
    </w:p>
    <w:p w14:paraId="136D2B88" w14:textId="77777777" w:rsidR="00A07C6A" w:rsidRPr="00A07C6A" w:rsidRDefault="0038719F" w:rsidP="00A07C6A">
      <w:pPr>
        <w:pStyle w:val="ListParagraph"/>
        <w:numPr>
          <w:ilvl w:val="0"/>
          <w:numId w:val="4"/>
        </w:numPr>
      </w:pPr>
      <w:r w:rsidRPr="00A07C6A">
        <w:rPr>
          <w:rFonts w:cstheme="minorHAnsi"/>
        </w:rPr>
        <w:t>96-well plates</w:t>
      </w:r>
    </w:p>
    <w:p w14:paraId="67A907AC" w14:textId="77777777" w:rsidR="00A07C6A" w:rsidRPr="00A07C6A" w:rsidRDefault="00F028EC" w:rsidP="00A07C6A">
      <w:pPr>
        <w:pStyle w:val="ListParagraph"/>
        <w:numPr>
          <w:ilvl w:val="0"/>
          <w:numId w:val="4"/>
        </w:numPr>
      </w:pPr>
      <w:r w:rsidRPr="00A07C6A">
        <w:rPr>
          <w:rFonts w:cstheme="minorHAnsi"/>
          <w:color w:val="222222"/>
        </w:rPr>
        <w:t>Invitrogen Qubit 4 Fluorometer</w:t>
      </w:r>
    </w:p>
    <w:p w14:paraId="72E69757" w14:textId="7D0C9B26" w:rsidR="0038719F" w:rsidRPr="00A07C6A" w:rsidRDefault="0067426E" w:rsidP="00A07C6A">
      <w:pPr>
        <w:pStyle w:val="ListParagraph"/>
        <w:numPr>
          <w:ilvl w:val="0"/>
          <w:numId w:val="4"/>
        </w:numPr>
      </w:pPr>
      <w:r w:rsidRPr="00A07C6A">
        <w:rPr>
          <w:rFonts w:cstheme="minorHAnsi"/>
        </w:rPr>
        <w:t>Agilent 2100 Bioanalyzer Instrument</w:t>
      </w:r>
    </w:p>
    <w:p w14:paraId="17BB0030" w14:textId="457D72F3" w:rsidR="00F87325" w:rsidRPr="00A566DB" w:rsidRDefault="00F87325" w:rsidP="00F87325">
      <w:pPr>
        <w:rPr>
          <w:b/>
          <w:bCs/>
          <w:sz w:val="28"/>
          <w:szCs w:val="28"/>
        </w:rPr>
      </w:pPr>
      <w:r>
        <w:rPr>
          <w:b/>
          <w:bCs/>
        </w:rPr>
        <w:br w:type="page"/>
      </w:r>
      <w:r w:rsidRPr="00A566DB">
        <w:rPr>
          <w:b/>
          <w:bCs/>
          <w:sz w:val="28"/>
          <w:szCs w:val="28"/>
        </w:rPr>
        <w:lastRenderedPageBreak/>
        <w:t>Amplification of single cell genome for Replication timing</w:t>
      </w:r>
    </w:p>
    <w:p w14:paraId="7C02E50F" w14:textId="3210C25D" w:rsidR="00F87325" w:rsidRDefault="00F87325" w:rsidP="00F87325">
      <w:r w:rsidRPr="002A177E">
        <w:t>We developed an in</w:t>
      </w:r>
      <w:r>
        <w:t>-</w:t>
      </w:r>
      <w:r w:rsidRPr="002A177E">
        <w:t>house protoco</w:t>
      </w:r>
      <w:r>
        <w:t xml:space="preserve">l for isolation of genomic DNA from single cells. This protocol can be used in combination with the mRNA isolation or </w:t>
      </w:r>
      <w:r w:rsidR="002F6BB0">
        <w:t>as a stand-alone protocol for amplification of</w:t>
      </w:r>
      <w:r>
        <w:t xml:space="preserve"> </w:t>
      </w:r>
      <w:r w:rsidR="002F6BB0">
        <w:t>s</w:t>
      </w:r>
      <w:r>
        <w:t xml:space="preserve">c-gDNA. This protocol </w:t>
      </w:r>
      <w:r w:rsidR="009E6A41">
        <w:t xml:space="preserve">is compatible with </w:t>
      </w:r>
      <w:r>
        <w:t>cells or nuclei</w:t>
      </w:r>
      <w:r w:rsidR="009E6A41">
        <w:t xml:space="preserve"> as the starting material.</w:t>
      </w:r>
    </w:p>
    <w:p w14:paraId="161A766D" w14:textId="77777777" w:rsidR="00F87325" w:rsidRDefault="00F87325" w:rsidP="00F87325"/>
    <w:p w14:paraId="103DDE63" w14:textId="77777777" w:rsidR="00F87325" w:rsidRPr="005A06C0" w:rsidRDefault="00F87325" w:rsidP="00F87325">
      <w:pPr>
        <w:rPr>
          <w:b/>
          <w:bCs/>
        </w:rPr>
      </w:pPr>
      <w:r w:rsidRPr="005A06C0">
        <w:rPr>
          <w:b/>
          <w:bCs/>
        </w:rPr>
        <w:t>Summary of the steps-</w:t>
      </w:r>
    </w:p>
    <w:p w14:paraId="30892494" w14:textId="77777777" w:rsidR="00F87325" w:rsidRDefault="00F87325" w:rsidP="00F87325">
      <w:pPr>
        <w:pStyle w:val="ListParagraph"/>
        <w:numPr>
          <w:ilvl w:val="0"/>
          <w:numId w:val="1"/>
        </w:numPr>
      </w:pPr>
      <w:r>
        <w:t>Isolation of gDNA per cell</w:t>
      </w:r>
    </w:p>
    <w:p w14:paraId="184D067A" w14:textId="77777777" w:rsidR="00F87325" w:rsidRDefault="00F87325" w:rsidP="00F87325">
      <w:pPr>
        <w:pStyle w:val="ListParagraph"/>
        <w:numPr>
          <w:ilvl w:val="1"/>
          <w:numId w:val="1"/>
        </w:numPr>
      </w:pPr>
      <w:r>
        <w:t xml:space="preserve">If the protocol is performed only for sc-gDNA extraction form cells, single cells/ nuclei can be sorted into wells of 96 well-plates containing 9uL of ‘lysis and fragmentation buffer’. After that proceed with </w:t>
      </w:r>
      <w:r w:rsidRPr="00F02157">
        <w:rPr>
          <w:color w:val="70AD47" w:themeColor="accent6"/>
        </w:rPr>
        <w:t xml:space="preserve">steps –… </w:t>
      </w:r>
      <w:r>
        <w:t>onwards for amplification of the gDNA.</w:t>
      </w:r>
    </w:p>
    <w:p w14:paraId="5DFE3F73" w14:textId="77777777" w:rsidR="00F87325" w:rsidRDefault="00F87325" w:rsidP="00F87325">
      <w:pPr>
        <w:pStyle w:val="ListParagraph"/>
        <w:numPr>
          <w:ilvl w:val="1"/>
          <w:numId w:val="1"/>
        </w:numPr>
      </w:pPr>
      <w:r>
        <w:t xml:space="preserve">If the protocol is performed in combination with sc-mRNA extraction, perform </w:t>
      </w:r>
      <w:r w:rsidRPr="00F02157">
        <w:rPr>
          <w:color w:val="70AD47" w:themeColor="accent6"/>
        </w:rPr>
        <w:t xml:space="preserve">steps …-… </w:t>
      </w:r>
      <w:r>
        <w:t>until separation of mRNA from gDNA and transfer of gDNA into new plates with cell identity maintained. The gDNA is then pulled down onto Ampure beads.</w:t>
      </w:r>
    </w:p>
    <w:p w14:paraId="7DD50367" w14:textId="77777777" w:rsidR="00F87325" w:rsidRDefault="00F87325" w:rsidP="00F87325">
      <w:pPr>
        <w:pStyle w:val="ListParagraph"/>
        <w:numPr>
          <w:ilvl w:val="0"/>
          <w:numId w:val="1"/>
        </w:numPr>
      </w:pPr>
      <w:r>
        <w:t>Fragmentation of sc-gDNA using ‘lysis and fragmentation buffer’</w:t>
      </w:r>
    </w:p>
    <w:p w14:paraId="6FF08472" w14:textId="77777777" w:rsidR="00F87325" w:rsidRDefault="00F87325" w:rsidP="00F87325">
      <w:pPr>
        <w:pStyle w:val="ListParagraph"/>
        <w:numPr>
          <w:ilvl w:val="0"/>
          <w:numId w:val="1"/>
        </w:numPr>
      </w:pPr>
      <w:r>
        <w:t>Whole genome amplification of sc-gDNA with custom primers containing RE digestion sites.</w:t>
      </w:r>
    </w:p>
    <w:p w14:paraId="7915F72E" w14:textId="77777777" w:rsidR="00F87325" w:rsidRDefault="00F87325" w:rsidP="00F87325">
      <w:pPr>
        <w:pStyle w:val="ListParagraph"/>
        <w:numPr>
          <w:ilvl w:val="0"/>
          <w:numId w:val="1"/>
        </w:numPr>
      </w:pPr>
      <w:r>
        <w:t>Purification of amplified sc-gDNA.</w:t>
      </w:r>
    </w:p>
    <w:p w14:paraId="5AB8A3F5" w14:textId="77777777" w:rsidR="00F87325" w:rsidRDefault="00F87325" w:rsidP="00F87325">
      <w:pPr>
        <w:pStyle w:val="ListParagraph"/>
        <w:numPr>
          <w:ilvl w:val="0"/>
          <w:numId w:val="1"/>
        </w:numPr>
      </w:pPr>
      <w:r>
        <w:t>Quantification and Quality Control of purified and amplified gDNA.</w:t>
      </w:r>
    </w:p>
    <w:p w14:paraId="7876DEC5" w14:textId="77777777" w:rsidR="00F87325" w:rsidRDefault="00F87325" w:rsidP="00F87325">
      <w:pPr>
        <w:pStyle w:val="ListParagraph"/>
        <w:numPr>
          <w:ilvl w:val="0"/>
          <w:numId w:val="1"/>
        </w:numPr>
      </w:pPr>
      <w:r>
        <w:t>Restriction enzyme digestion of sc-gDNA to reduce length of primers on DNA fragments. Quality control to ensure successful RE digestion.</w:t>
      </w:r>
    </w:p>
    <w:p w14:paraId="034D1392" w14:textId="77777777" w:rsidR="00F87325" w:rsidRDefault="00F87325" w:rsidP="00F87325">
      <w:pPr>
        <w:pStyle w:val="ListParagraph"/>
        <w:numPr>
          <w:ilvl w:val="0"/>
          <w:numId w:val="1"/>
        </w:numPr>
      </w:pPr>
      <w:r>
        <w:t>Tagmentation based library preparation of sc-gDNA using Nextera XT sample preparation kit.</w:t>
      </w:r>
    </w:p>
    <w:p w14:paraId="3EF48003" w14:textId="77777777" w:rsidR="00F87325" w:rsidRDefault="00F87325" w:rsidP="00F87325">
      <w:pPr>
        <w:pStyle w:val="ListParagraph"/>
        <w:numPr>
          <w:ilvl w:val="0"/>
          <w:numId w:val="1"/>
        </w:numPr>
      </w:pPr>
      <w:r>
        <w:t>Sequencing of pooled sc-gDNA samples.</w:t>
      </w:r>
    </w:p>
    <w:p w14:paraId="589409A4" w14:textId="2F4392AF" w:rsidR="00F87325" w:rsidRPr="00AA1F21" w:rsidRDefault="00F87325" w:rsidP="00F87325">
      <w:pPr>
        <w:pStyle w:val="ListParagraph"/>
        <w:numPr>
          <w:ilvl w:val="0"/>
          <w:numId w:val="1"/>
        </w:numPr>
      </w:pPr>
      <w:r>
        <w:t xml:space="preserve">Analysis of sc-gDNA for replication timing, copy number variation etc. </w:t>
      </w:r>
    </w:p>
    <w:p w14:paraId="4242B809" w14:textId="77777777" w:rsidR="00F87325" w:rsidRDefault="00F87325" w:rsidP="00F87325">
      <w:pPr>
        <w:rPr>
          <w:b/>
          <w:bCs/>
        </w:rPr>
      </w:pPr>
    </w:p>
    <w:p w14:paraId="149B1AD9" w14:textId="77777777" w:rsidR="00F87325" w:rsidRPr="005A06C0" w:rsidRDefault="00F87325" w:rsidP="00F87325">
      <w:pPr>
        <w:pStyle w:val="ListParagraph"/>
        <w:numPr>
          <w:ilvl w:val="0"/>
          <w:numId w:val="2"/>
        </w:numPr>
      </w:pPr>
      <w:r w:rsidRPr="005A06C0">
        <w:rPr>
          <w:b/>
          <w:bCs/>
        </w:rPr>
        <w:t>Isolation of gDNA per cell</w:t>
      </w:r>
    </w:p>
    <w:p w14:paraId="1D61A7B0" w14:textId="77777777" w:rsidR="00F87325" w:rsidRDefault="00F87325" w:rsidP="00F87325">
      <w:pPr>
        <w:pStyle w:val="ListParagraph"/>
        <w:ind w:left="360"/>
      </w:pPr>
      <w:r w:rsidRPr="00645A17">
        <w:rPr>
          <w:color w:val="FF0000"/>
        </w:rPr>
        <w:t>NOTE:</w:t>
      </w:r>
      <w:r>
        <w:t xml:space="preserve"> </w:t>
      </w:r>
      <w:r w:rsidRPr="005A06C0">
        <w:t>If processing only gDNA per cell, sort</w:t>
      </w:r>
      <w:r>
        <w:t xml:space="preserve"> single cells/ nuclei into individual wells of a 96-well plate containing 9uL of the ‘Lysis and Fragmentation buffer’. Continue with </w:t>
      </w:r>
      <w:r w:rsidRPr="003176F5">
        <w:rPr>
          <w:color w:val="70AD47" w:themeColor="accent6"/>
        </w:rPr>
        <w:t xml:space="preserve">steps --- </w:t>
      </w:r>
      <w:r>
        <w:t xml:space="preserve">for fragmentation and processing of the sc-gDNA. In this case, no Ampure XP beads are present in the processing of the gDNA until after amplification. </w:t>
      </w:r>
    </w:p>
    <w:p w14:paraId="466ACEE6" w14:textId="77777777" w:rsidR="00F87325" w:rsidRDefault="00F87325" w:rsidP="00F87325">
      <w:pPr>
        <w:pStyle w:val="ListParagraph"/>
        <w:ind w:left="360"/>
      </w:pPr>
    </w:p>
    <w:p w14:paraId="0A901DBB" w14:textId="77777777" w:rsidR="00F87325" w:rsidRDefault="00F87325" w:rsidP="00F87325">
      <w:pPr>
        <w:pStyle w:val="ListParagraph"/>
        <w:ind w:left="360"/>
      </w:pPr>
      <w:r w:rsidRPr="00645A17">
        <w:rPr>
          <w:color w:val="FF0000"/>
        </w:rPr>
        <w:t xml:space="preserve">NOTE: </w:t>
      </w:r>
      <w:r>
        <w:t xml:space="preserve">If continuing from </w:t>
      </w:r>
      <w:r w:rsidRPr="00CD767B">
        <w:rPr>
          <w:color w:val="70AD47" w:themeColor="accent6"/>
        </w:rPr>
        <w:t xml:space="preserve">step --- </w:t>
      </w:r>
      <w:r>
        <w:t xml:space="preserve">after separation of mRNA from gDNA, proceed with the following steps. The gDNA in the new plate labelled </w:t>
      </w:r>
      <w:r w:rsidRPr="00444E18">
        <w:t>‘gDNA collection' plate</w:t>
      </w:r>
      <w:r>
        <w:t xml:space="preserve"> would currently be in 38.5uL of buffer per well after the wash </w:t>
      </w:r>
      <w:r w:rsidRPr="00CD767B">
        <w:rPr>
          <w:color w:val="70AD47" w:themeColor="accent6"/>
        </w:rPr>
        <w:t>steps --…--.</w:t>
      </w:r>
    </w:p>
    <w:p w14:paraId="55D1500C" w14:textId="77777777" w:rsidR="00F87325" w:rsidRDefault="00F87325" w:rsidP="00F87325">
      <w:pPr>
        <w:pStyle w:val="ListParagraph"/>
        <w:ind w:left="360"/>
      </w:pPr>
    </w:p>
    <w:p w14:paraId="59F8B047" w14:textId="77777777" w:rsidR="00F87325" w:rsidRDefault="00F87325" w:rsidP="00F87325">
      <w:pPr>
        <w:pStyle w:val="ListParagraph"/>
        <w:ind w:left="360"/>
      </w:pPr>
      <w:r>
        <w:t>(Pull down gDNA from supernatant buffer onto AMPure XP beads)</w:t>
      </w:r>
    </w:p>
    <w:p w14:paraId="348F7E6B" w14:textId="77777777" w:rsidR="00F87325" w:rsidRDefault="00F87325" w:rsidP="00F87325">
      <w:pPr>
        <w:pStyle w:val="ListParagraph"/>
        <w:ind w:left="360"/>
      </w:pPr>
    </w:p>
    <w:p w14:paraId="7FF1948D" w14:textId="77777777" w:rsidR="00F87325" w:rsidRDefault="00F87325" w:rsidP="00F87325">
      <w:pPr>
        <w:pStyle w:val="ListParagraph"/>
        <w:numPr>
          <w:ilvl w:val="1"/>
          <w:numId w:val="3"/>
        </w:numPr>
      </w:pPr>
      <w:r>
        <w:t xml:space="preserve">Ampure XP beads need to be warmed to room temperature for approximately 15 minutes and then mixed well before use. </w:t>
      </w:r>
    </w:p>
    <w:p w14:paraId="71DCE293" w14:textId="77777777" w:rsidR="00F87325" w:rsidRPr="003176F5" w:rsidRDefault="00F87325" w:rsidP="00F87325">
      <w:pPr>
        <w:pStyle w:val="ListParagraph"/>
        <w:numPr>
          <w:ilvl w:val="1"/>
          <w:numId w:val="3"/>
        </w:numPr>
      </w:pPr>
      <w:r w:rsidRPr="003176F5">
        <w:t xml:space="preserve">If the gDNA collection plate was frozen at step ---, first thaw the plate on ice and then centrifuge at 1000g, </w:t>
      </w:r>
      <w:r w:rsidRPr="003176F5">
        <w:rPr>
          <w:color w:val="000000" w:themeColor="text1"/>
        </w:rPr>
        <w:t xml:space="preserve">4 °C, 1 minute to collect the buffer at the bottom of the well. </w:t>
      </w:r>
    </w:p>
    <w:p w14:paraId="41ED1D42" w14:textId="77777777" w:rsidR="00F87325" w:rsidRPr="00965CB9" w:rsidRDefault="00F87325" w:rsidP="00F87325">
      <w:pPr>
        <w:pStyle w:val="ListParagraph"/>
        <w:numPr>
          <w:ilvl w:val="1"/>
          <w:numId w:val="3"/>
        </w:numPr>
        <w:rPr>
          <w:b/>
          <w:bCs/>
        </w:rPr>
      </w:pPr>
      <w:r w:rsidRPr="003176F5">
        <w:lastRenderedPageBreak/>
        <w:t>To 38.5 uL</w:t>
      </w:r>
      <w:r>
        <w:t xml:space="preserve"> of gDNA solution, add 25 uL of AMPure XP beads (1:0.65 ratio) and mix well by pipetting multiple times until the beads are suspended in the buffer. Allow the mixture to stand for 20 minutes at room temperature. This allows the gDNA to bind to the beads.</w:t>
      </w:r>
    </w:p>
    <w:p w14:paraId="4088508E" w14:textId="77777777" w:rsidR="00F87325" w:rsidRDefault="00F87325" w:rsidP="00F87325">
      <w:pPr>
        <w:pStyle w:val="ListParagraph"/>
        <w:numPr>
          <w:ilvl w:val="1"/>
          <w:numId w:val="3"/>
        </w:numPr>
      </w:pPr>
      <w:r w:rsidRPr="00965CB9">
        <w:t>Transfer</w:t>
      </w:r>
      <w:r>
        <w:t xml:space="preserve"> the gDNA collection plate with the beads onto a low-elution magnet. Allow the plate to stand for ~20 minutes until the solution is clear and the beads have attached to the bottom of the plates. </w:t>
      </w:r>
    </w:p>
    <w:p w14:paraId="488740C9" w14:textId="77777777" w:rsidR="00F87325" w:rsidRDefault="00F87325" w:rsidP="00F87325">
      <w:pPr>
        <w:pStyle w:val="ListParagraph"/>
        <w:numPr>
          <w:ilvl w:val="1"/>
          <w:numId w:val="3"/>
        </w:numPr>
      </w:pPr>
      <w:r>
        <w:t>Carefully remove and discard the supernatant from each well without disturbing the beads.</w:t>
      </w:r>
    </w:p>
    <w:p w14:paraId="07CD39C3" w14:textId="77777777" w:rsidR="00F87325" w:rsidRDefault="00F87325" w:rsidP="00F87325">
      <w:pPr>
        <w:pStyle w:val="ListParagraph"/>
        <w:numPr>
          <w:ilvl w:val="1"/>
          <w:numId w:val="3"/>
        </w:numPr>
      </w:pPr>
      <w:r>
        <w:t>With the plate on the magnet and without disturbing the beads, add 100uL of freshly prepared 80% ethanol (vol/vol) onto the beads. After 30 seconds, remove and discard the ethanol.</w:t>
      </w:r>
    </w:p>
    <w:p w14:paraId="672DA00A" w14:textId="77777777" w:rsidR="00F87325" w:rsidRDefault="00F87325" w:rsidP="00F87325">
      <w:pPr>
        <w:pStyle w:val="ListParagraph"/>
        <w:numPr>
          <w:ilvl w:val="1"/>
          <w:numId w:val="3"/>
        </w:numPr>
      </w:pPr>
      <w:r>
        <w:t xml:space="preserve">Repeat step 1.6 again. Allow the beads to dry for ~2-3 minutes. Meanwhile, using a 10uL multichannel pipette remove any remaining ethanol in the wells. </w:t>
      </w:r>
    </w:p>
    <w:p w14:paraId="5C61944B" w14:textId="77777777" w:rsidR="00F87325" w:rsidRDefault="00F87325" w:rsidP="00F87325">
      <w:pPr>
        <w:pStyle w:val="ListParagraph"/>
        <w:ind w:left="792"/>
        <w:rPr>
          <w:highlight w:val="red"/>
        </w:rPr>
      </w:pPr>
    </w:p>
    <w:p w14:paraId="2682FA55" w14:textId="77777777" w:rsidR="00F87325" w:rsidRPr="003176F5" w:rsidRDefault="00F87325" w:rsidP="00F87325">
      <w:pPr>
        <w:pStyle w:val="ListParagraph"/>
        <w:ind w:left="792"/>
        <w:rPr>
          <w:b/>
          <w:bCs/>
        </w:rPr>
      </w:pPr>
      <w:r w:rsidRPr="00645A17">
        <w:rPr>
          <w:b/>
          <w:bCs/>
          <w:color w:val="FF0000"/>
        </w:rPr>
        <w:t>CRITICAL:</w:t>
      </w:r>
      <w:r w:rsidRPr="00645A17">
        <w:rPr>
          <w:color w:val="FF0000"/>
        </w:rPr>
        <w:t xml:space="preserve"> </w:t>
      </w:r>
      <w:r>
        <w:t xml:space="preserve">Do not allow the beads to dry too long as this will disrupt the gDNA attached to the beads. </w:t>
      </w:r>
      <w:r w:rsidRPr="003176F5">
        <w:rPr>
          <w:b/>
          <w:bCs/>
        </w:rPr>
        <w:t>Proceed immediately to the next step.</w:t>
      </w:r>
    </w:p>
    <w:p w14:paraId="09CA56BD" w14:textId="77777777" w:rsidR="00F87325" w:rsidRDefault="00F87325" w:rsidP="00F87325">
      <w:pPr>
        <w:pStyle w:val="ListParagraph"/>
        <w:ind w:left="792"/>
      </w:pPr>
    </w:p>
    <w:p w14:paraId="326E4B8E" w14:textId="77777777" w:rsidR="00F87325" w:rsidRPr="0027611A" w:rsidRDefault="00F87325" w:rsidP="00F87325">
      <w:pPr>
        <w:pStyle w:val="ListParagraph"/>
        <w:numPr>
          <w:ilvl w:val="0"/>
          <w:numId w:val="2"/>
        </w:numPr>
      </w:pPr>
      <w:r>
        <w:rPr>
          <w:b/>
          <w:bCs/>
        </w:rPr>
        <w:t>Fragmentation of</w:t>
      </w:r>
      <w:r w:rsidRPr="005A06C0">
        <w:rPr>
          <w:b/>
          <w:bCs/>
        </w:rPr>
        <w:t xml:space="preserve"> </w:t>
      </w:r>
      <w:r>
        <w:rPr>
          <w:b/>
          <w:bCs/>
        </w:rPr>
        <w:t>sc-</w:t>
      </w:r>
      <w:r w:rsidRPr="005A06C0">
        <w:rPr>
          <w:b/>
          <w:bCs/>
        </w:rPr>
        <w:t>gDNA</w:t>
      </w:r>
    </w:p>
    <w:p w14:paraId="4C555795" w14:textId="77777777" w:rsidR="00F87325" w:rsidRPr="003176F5" w:rsidRDefault="00F87325" w:rsidP="00F87325">
      <w:pPr>
        <w:pStyle w:val="ListParagraph"/>
        <w:ind w:left="360"/>
      </w:pPr>
    </w:p>
    <w:p w14:paraId="010DD689" w14:textId="77777777" w:rsidR="00F87325" w:rsidRPr="00645A17" w:rsidRDefault="00F87325" w:rsidP="00F87325">
      <w:pPr>
        <w:pStyle w:val="ListParagraph"/>
        <w:numPr>
          <w:ilvl w:val="1"/>
          <w:numId w:val="2"/>
        </w:numPr>
      </w:pPr>
      <w:r>
        <w:t xml:space="preserve">To each well in step 1.7, add 9 uL of the ‘Lysis and Fragmentation buffer’. Remove the gDNA collection plate from the magnet. Mix well by pipetting multiple times until the beads are completely resuspended in the buffer in each well. Centrifuge at 100g, </w:t>
      </w:r>
      <w:r w:rsidRPr="003176F5">
        <w:rPr>
          <w:color w:val="000000" w:themeColor="text1"/>
        </w:rPr>
        <w:t xml:space="preserve">4 °C, </w:t>
      </w:r>
      <w:r>
        <w:rPr>
          <w:color w:val="000000" w:themeColor="text1"/>
        </w:rPr>
        <w:t xml:space="preserve">20 seconds to bring the solution the mixture to the bottom of the well. </w:t>
      </w:r>
    </w:p>
    <w:p w14:paraId="0AEBEC5C" w14:textId="77777777" w:rsidR="00F87325" w:rsidRDefault="00F87325" w:rsidP="00F87325">
      <w:pPr>
        <w:pStyle w:val="ListParagraph"/>
        <w:ind w:left="792"/>
        <w:rPr>
          <w:color w:val="70AD47" w:themeColor="accent6"/>
        </w:rPr>
      </w:pPr>
    </w:p>
    <w:p w14:paraId="17D74DCE" w14:textId="77777777" w:rsidR="00F87325" w:rsidRDefault="00F87325" w:rsidP="00F87325">
      <w:pPr>
        <w:pStyle w:val="ListParagraph"/>
        <w:ind w:left="792"/>
        <w:rPr>
          <w:color w:val="000000" w:themeColor="text1"/>
        </w:rPr>
      </w:pPr>
      <w:r w:rsidRPr="00645A17">
        <w:rPr>
          <w:b/>
          <w:bCs/>
          <w:color w:val="FF0000"/>
        </w:rPr>
        <w:t>NOTE:</w:t>
      </w:r>
      <w:r>
        <w:rPr>
          <w:color w:val="000000" w:themeColor="text1"/>
        </w:rPr>
        <w:t xml:space="preserve"> </w:t>
      </w:r>
      <w:r w:rsidRPr="00645A17">
        <w:rPr>
          <w:color w:val="000000" w:themeColor="text1"/>
        </w:rPr>
        <w:t>Avoid high centrifugation speeds. The goal is to bring any stray liquid drop</w:t>
      </w:r>
      <w:r>
        <w:rPr>
          <w:color w:val="000000" w:themeColor="text1"/>
        </w:rPr>
        <w:t>s</w:t>
      </w:r>
      <w:r w:rsidRPr="00645A17">
        <w:rPr>
          <w:color w:val="000000" w:themeColor="text1"/>
        </w:rPr>
        <w:t xml:space="preserve"> to the bottom, not to separate the beads from the buffer. </w:t>
      </w:r>
      <w:r>
        <w:rPr>
          <w:color w:val="000000" w:themeColor="text1"/>
        </w:rPr>
        <w:t>You can also skip centrifugation if no stray liquid drops are observed.</w:t>
      </w:r>
    </w:p>
    <w:p w14:paraId="39D0A8A6" w14:textId="77777777" w:rsidR="00F87325" w:rsidRDefault="00F87325" w:rsidP="00F87325">
      <w:pPr>
        <w:pStyle w:val="ListParagraph"/>
        <w:ind w:left="792"/>
        <w:rPr>
          <w:color w:val="000000" w:themeColor="text1"/>
        </w:rPr>
      </w:pPr>
    </w:p>
    <w:p w14:paraId="14E2AB1B" w14:textId="77777777" w:rsidR="00F87325" w:rsidRDefault="00F87325" w:rsidP="00F87325">
      <w:pPr>
        <w:pStyle w:val="ListParagraph"/>
        <w:numPr>
          <w:ilvl w:val="1"/>
          <w:numId w:val="2"/>
        </w:numPr>
      </w:pPr>
      <w:r>
        <w:t>Seal the plate and then transfer to the thermocycler at the following conditions-</w:t>
      </w:r>
    </w:p>
    <w:p w14:paraId="56CAEEEB" w14:textId="77777777" w:rsidR="00F87325" w:rsidRDefault="00F87325" w:rsidP="00F87325">
      <w:pPr>
        <w:pStyle w:val="ListParagraph"/>
        <w:ind w:left="792"/>
      </w:pPr>
    </w:p>
    <w:tbl>
      <w:tblPr>
        <w:tblStyle w:val="TableGrid"/>
        <w:tblW w:w="0" w:type="auto"/>
        <w:tblInd w:w="720" w:type="dxa"/>
        <w:tblLook w:val="04A0" w:firstRow="1" w:lastRow="0" w:firstColumn="1" w:lastColumn="0" w:noHBand="0" w:noVBand="1"/>
      </w:tblPr>
      <w:tblGrid>
        <w:gridCol w:w="1435"/>
        <w:gridCol w:w="4378"/>
        <w:gridCol w:w="2817"/>
      </w:tblGrid>
      <w:tr w:rsidR="00F87325" w14:paraId="207DEB37" w14:textId="77777777" w:rsidTr="001E4848">
        <w:tc>
          <w:tcPr>
            <w:tcW w:w="1435" w:type="dxa"/>
          </w:tcPr>
          <w:p w14:paraId="423C8B7B" w14:textId="77777777" w:rsidR="00F87325" w:rsidRDefault="00F87325" w:rsidP="001E4848">
            <w:pPr>
              <w:pStyle w:val="ListParagraph"/>
              <w:ind w:left="0"/>
              <w:rPr>
                <w:color w:val="000000" w:themeColor="text1"/>
              </w:rPr>
            </w:pPr>
            <w:r>
              <w:rPr>
                <w:color w:val="000000" w:themeColor="text1"/>
              </w:rPr>
              <w:t>Step</w:t>
            </w:r>
          </w:p>
        </w:tc>
        <w:tc>
          <w:tcPr>
            <w:tcW w:w="4378" w:type="dxa"/>
          </w:tcPr>
          <w:p w14:paraId="27BFCCEB" w14:textId="77777777" w:rsidR="00F87325" w:rsidRDefault="00F87325" w:rsidP="001E4848">
            <w:pPr>
              <w:pStyle w:val="ListParagraph"/>
              <w:ind w:left="0"/>
              <w:rPr>
                <w:color w:val="000000" w:themeColor="text1"/>
              </w:rPr>
            </w:pPr>
            <w:r>
              <w:rPr>
                <w:color w:val="000000" w:themeColor="text1"/>
              </w:rPr>
              <w:t>Temperature (C )</w:t>
            </w:r>
          </w:p>
        </w:tc>
        <w:tc>
          <w:tcPr>
            <w:tcW w:w="2817" w:type="dxa"/>
          </w:tcPr>
          <w:p w14:paraId="0425280B" w14:textId="77777777" w:rsidR="00F87325" w:rsidRDefault="00F87325" w:rsidP="001E4848">
            <w:pPr>
              <w:pStyle w:val="ListParagraph"/>
              <w:ind w:left="0"/>
              <w:rPr>
                <w:color w:val="000000" w:themeColor="text1"/>
              </w:rPr>
            </w:pPr>
            <w:r>
              <w:rPr>
                <w:color w:val="000000" w:themeColor="text1"/>
              </w:rPr>
              <w:t>Time</w:t>
            </w:r>
          </w:p>
        </w:tc>
      </w:tr>
      <w:tr w:rsidR="00F87325" w14:paraId="6E1E6F73" w14:textId="77777777" w:rsidTr="001E4848">
        <w:tc>
          <w:tcPr>
            <w:tcW w:w="1435" w:type="dxa"/>
          </w:tcPr>
          <w:p w14:paraId="19B55FD2" w14:textId="77777777" w:rsidR="00F87325" w:rsidRDefault="00F87325" w:rsidP="001E4848">
            <w:pPr>
              <w:pStyle w:val="ListParagraph"/>
              <w:ind w:left="0"/>
              <w:rPr>
                <w:color w:val="000000" w:themeColor="text1"/>
              </w:rPr>
            </w:pPr>
            <w:r>
              <w:rPr>
                <w:color w:val="000000" w:themeColor="text1"/>
              </w:rPr>
              <w:t>1</w:t>
            </w:r>
          </w:p>
        </w:tc>
        <w:tc>
          <w:tcPr>
            <w:tcW w:w="4378" w:type="dxa"/>
          </w:tcPr>
          <w:p w14:paraId="5E29AFAA" w14:textId="77777777" w:rsidR="00F87325" w:rsidRDefault="00F87325" w:rsidP="001E4848">
            <w:pPr>
              <w:pStyle w:val="ListParagraph"/>
              <w:ind w:left="0"/>
              <w:rPr>
                <w:color w:val="000000" w:themeColor="text1"/>
              </w:rPr>
            </w:pPr>
            <w:r>
              <w:rPr>
                <w:color w:val="000000" w:themeColor="text1"/>
              </w:rPr>
              <w:t xml:space="preserve">50 </w:t>
            </w:r>
            <w:r w:rsidRPr="003176F5">
              <w:rPr>
                <w:color w:val="000000" w:themeColor="text1"/>
              </w:rPr>
              <w:t>°C</w:t>
            </w:r>
          </w:p>
        </w:tc>
        <w:tc>
          <w:tcPr>
            <w:tcW w:w="2817" w:type="dxa"/>
          </w:tcPr>
          <w:p w14:paraId="0044E554" w14:textId="77777777" w:rsidR="00F87325" w:rsidRDefault="00F87325" w:rsidP="001E4848">
            <w:pPr>
              <w:pStyle w:val="ListParagraph"/>
              <w:ind w:left="0"/>
              <w:rPr>
                <w:color w:val="000000" w:themeColor="text1"/>
              </w:rPr>
            </w:pPr>
            <w:r>
              <w:rPr>
                <w:color w:val="000000" w:themeColor="text1"/>
              </w:rPr>
              <w:t>60 mins</w:t>
            </w:r>
          </w:p>
        </w:tc>
      </w:tr>
      <w:tr w:rsidR="00F87325" w14:paraId="3180C640" w14:textId="77777777" w:rsidTr="001E4848">
        <w:tc>
          <w:tcPr>
            <w:tcW w:w="1435" w:type="dxa"/>
          </w:tcPr>
          <w:p w14:paraId="20A687DD" w14:textId="77777777" w:rsidR="00F87325" w:rsidRDefault="00F87325" w:rsidP="001E4848">
            <w:pPr>
              <w:pStyle w:val="ListParagraph"/>
              <w:ind w:left="0"/>
              <w:rPr>
                <w:color w:val="000000" w:themeColor="text1"/>
              </w:rPr>
            </w:pPr>
            <w:r>
              <w:rPr>
                <w:color w:val="000000" w:themeColor="text1"/>
              </w:rPr>
              <w:t>2</w:t>
            </w:r>
          </w:p>
        </w:tc>
        <w:tc>
          <w:tcPr>
            <w:tcW w:w="4378" w:type="dxa"/>
          </w:tcPr>
          <w:p w14:paraId="2FB6FF87" w14:textId="77777777" w:rsidR="00F87325" w:rsidRDefault="00F87325" w:rsidP="001E4848">
            <w:pPr>
              <w:pStyle w:val="ListParagraph"/>
              <w:ind w:left="0"/>
              <w:rPr>
                <w:color w:val="000000" w:themeColor="text1"/>
              </w:rPr>
            </w:pPr>
            <w:r>
              <w:rPr>
                <w:color w:val="000000" w:themeColor="text1"/>
              </w:rPr>
              <w:t xml:space="preserve">99 </w:t>
            </w:r>
            <w:r w:rsidRPr="003176F5">
              <w:rPr>
                <w:color w:val="000000" w:themeColor="text1"/>
              </w:rPr>
              <w:t>°C</w:t>
            </w:r>
          </w:p>
        </w:tc>
        <w:tc>
          <w:tcPr>
            <w:tcW w:w="2817" w:type="dxa"/>
          </w:tcPr>
          <w:p w14:paraId="1A75BA82" w14:textId="77777777" w:rsidR="00F87325" w:rsidRDefault="00F87325" w:rsidP="001E4848">
            <w:pPr>
              <w:pStyle w:val="ListParagraph"/>
              <w:ind w:left="0"/>
              <w:rPr>
                <w:color w:val="000000" w:themeColor="text1"/>
              </w:rPr>
            </w:pPr>
            <w:r>
              <w:rPr>
                <w:color w:val="000000" w:themeColor="text1"/>
              </w:rPr>
              <w:t>4 mins</w:t>
            </w:r>
          </w:p>
        </w:tc>
      </w:tr>
      <w:tr w:rsidR="00F87325" w14:paraId="12F84EF6" w14:textId="77777777" w:rsidTr="001E4848">
        <w:tc>
          <w:tcPr>
            <w:tcW w:w="1435" w:type="dxa"/>
          </w:tcPr>
          <w:p w14:paraId="3442417E" w14:textId="77777777" w:rsidR="00F87325" w:rsidRDefault="00F87325" w:rsidP="001E4848">
            <w:pPr>
              <w:pStyle w:val="ListParagraph"/>
              <w:ind w:left="0"/>
              <w:rPr>
                <w:color w:val="000000" w:themeColor="text1"/>
              </w:rPr>
            </w:pPr>
            <w:r>
              <w:rPr>
                <w:color w:val="000000" w:themeColor="text1"/>
              </w:rPr>
              <w:t>3</w:t>
            </w:r>
          </w:p>
        </w:tc>
        <w:tc>
          <w:tcPr>
            <w:tcW w:w="4378" w:type="dxa"/>
          </w:tcPr>
          <w:p w14:paraId="6CD75A1C" w14:textId="77777777" w:rsidR="00F87325" w:rsidRDefault="00F87325" w:rsidP="001E4848">
            <w:pPr>
              <w:pStyle w:val="ListParagraph"/>
              <w:ind w:left="0"/>
              <w:rPr>
                <w:color w:val="000000" w:themeColor="text1"/>
              </w:rPr>
            </w:pPr>
            <w:r w:rsidRPr="003176F5">
              <w:rPr>
                <w:color w:val="000000" w:themeColor="text1"/>
              </w:rPr>
              <w:t>4 °C</w:t>
            </w:r>
          </w:p>
        </w:tc>
        <w:tc>
          <w:tcPr>
            <w:tcW w:w="2817" w:type="dxa"/>
          </w:tcPr>
          <w:p w14:paraId="1CA8CE1F" w14:textId="77777777" w:rsidR="00F87325" w:rsidRDefault="00F87325" w:rsidP="001E4848">
            <w:pPr>
              <w:pStyle w:val="ListParagraph"/>
              <w:ind w:left="0"/>
              <w:rPr>
                <w:color w:val="000000" w:themeColor="text1"/>
              </w:rPr>
            </w:pPr>
            <w:r>
              <w:rPr>
                <w:color w:val="000000" w:themeColor="text1"/>
              </w:rPr>
              <w:t>Hold</w:t>
            </w:r>
          </w:p>
        </w:tc>
      </w:tr>
    </w:tbl>
    <w:p w14:paraId="5AF9E2B8" w14:textId="77777777" w:rsidR="00F87325" w:rsidRPr="003176F5" w:rsidRDefault="00F87325" w:rsidP="00F87325">
      <w:pPr>
        <w:pStyle w:val="ListParagraph"/>
        <w:ind w:left="792"/>
      </w:pPr>
    </w:p>
    <w:p w14:paraId="3F7BA541" w14:textId="77777777" w:rsidR="00F87325" w:rsidRDefault="00F87325" w:rsidP="00F87325">
      <w:pPr>
        <w:pStyle w:val="ListParagraph"/>
        <w:rPr>
          <w:color w:val="000000" w:themeColor="text1"/>
        </w:rPr>
      </w:pPr>
      <w:r w:rsidRPr="00645A17">
        <w:rPr>
          <w:b/>
          <w:bCs/>
          <w:color w:val="FF0000"/>
        </w:rPr>
        <w:t>PAUSE POINT</w:t>
      </w:r>
      <w:r>
        <w:t xml:space="preserve">- Fragmented gDNA can be stored at </w:t>
      </w:r>
      <w:r w:rsidRPr="003176F5">
        <w:rPr>
          <w:color w:val="000000" w:themeColor="text1"/>
        </w:rPr>
        <w:t>4 °C</w:t>
      </w:r>
      <w:r>
        <w:rPr>
          <w:color w:val="000000" w:themeColor="text1"/>
        </w:rPr>
        <w:t xml:space="preserve"> overnight before proceeding with next steps.</w:t>
      </w:r>
    </w:p>
    <w:p w14:paraId="057F847C" w14:textId="77777777" w:rsidR="00F87325" w:rsidRDefault="00F87325" w:rsidP="00F87325">
      <w:pPr>
        <w:pStyle w:val="ListParagraph"/>
      </w:pPr>
    </w:p>
    <w:p w14:paraId="080A42AC" w14:textId="77777777" w:rsidR="00F87325" w:rsidRPr="006700E1" w:rsidRDefault="00F87325" w:rsidP="00F87325">
      <w:pPr>
        <w:pStyle w:val="ListParagraph"/>
        <w:numPr>
          <w:ilvl w:val="0"/>
          <w:numId w:val="2"/>
        </w:numPr>
        <w:rPr>
          <w:b/>
          <w:bCs/>
        </w:rPr>
      </w:pPr>
      <w:r w:rsidRPr="006700E1">
        <w:rPr>
          <w:b/>
          <w:bCs/>
        </w:rPr>
        <w:t xml:space="preserve">Whole genome amplification of sc-gDNA </w:t>
      </w:r>
    </w:p>
    <w:p w14:paraId="0CAC67C0" w14:textId="77777777" w:rsidR="00F87325" w:rsidRDefault="00F87325" w:rsidP="00F87325">
      <w:pPr>
        <w:pStyle w:val="ListParagraph"/>
        <w:ind w:left="360"/>
      </w:pPr>
    </w:p>
    <w:p w14:paraId="4D14EB1E" w14:textId="77777777" w:rsidR="00F87325" w:rsidRDefault="00F87325" w:rsidP="00F87325">
      <w:pPr>
        <w:pStyle w:val="ListParagraph"/>
        <w:ind w:left="360"/>
      </w:pPr>
      <w:r>
        <w:t>(Attaching WGA primers to DNA fragments)</w:t>
      </w:r>
    </w:p>
    <w:p w14:paraId="368CCAD8" w14:textId="77777777" w:rsidR="00F87325" w:rsidRPr="00645A17" w:rsidRDefault="00F87325" w:rsidP="00F87325">
      <w:pPr>
        <w:pStyle w:val="ListParagraph"/>
        <w:numPr>
          <w:ilvl w:val="1"/>
          <w:numId w:val="2"/>
        </w:numPr>
      </w:pPr>
      <w:r>
        <w:t xml:space="preserve">Centrifuge the gDNA collection plate at 1000g, </w:t>
      </w:r>
      <w:r w:rsidRPr="003176F5">
        <w:rPr>
          <w:color w:val="000000" w:themeColor="text1"/>
        </w:rPr>
        <w:t xml:space="preserve">4 °C, </w:t>
      </w:r>
      <w:r>
        <w:rPr>
          <w:color w:val="000000" w:themeColor="text1"/>
        </w:rPr>
        <w:t>1 minute to bring all the liquid and beads to the bottom of the well. Store the plate on ice.</w:t>
      </w:r>
    </w:p>
    <w:p w14:paraId="524E9E5A" w14:textId="77777777" w:rsidR="00F87325" w:rsidRPr="004A611E" w:rsidRDefault="00F87325" w:rsidP="00F87325">
      <w:pPr>
        <w:pStyle w:val="ListParagraph"/>
        <w:numPr>
          <w:ilvl w:val="1"/>
          <w:numId w:val="2"/>
        </w:numPr>
      </w:pPr>
      <w:r>
        <w:rPr>
          <w:color w:val="000000" w:themeColor="text1"/>
        </w:rPr>
        <w:lastRenderedPageBreak/>
        <w:t xml:space="preserve">Prepare the ‘Library Mix’ according to number of wells being processed. </w:t>
      </w:r>
      <w:r w:rsidRPr="004A611E">
        <w:rPr>
          <w:color w:val="000000" w:themeColor="text1"/>
        </w:rPr>
        <w:t xml:space="preserve">To each well of the </w:t>
      </w:r>
      <w:r>
        <w:rPr>
          <w:color w:val="000000" w:themeColor="text1"/>
        </w:rPr>
        <w:t>96-</w:t>
      </w:r>
      <w:r w:rsidRPr="004A611E">
        <w:rPr>
          <w:color w:val="000000" w:themeColor="text1"/>
        </w:rPr>
        <w:t>well plate, add 2uL of freshly prepared ‘Library Mix’.</w:t>
      </w:r>
      <w:r>
        <w:rPr>
          <w:color w:val="000000" w:themeColor="text1"/>
        </w:rPr>
        <w:t xml:space="preserve"> Mix well by pipetting multiple times. </w:t>
      </w:r>
      <w:r>
        <w:t xml:space="preserve">Centrifuge at 100g, </w:t>
      </w:r>
      <w:r w:rsidRPr="003176F5">
        <w:rPr>
          <w:color w:val="000000" w:themeColor="text1"/>
        </w:rPr>
        <w:t xml:space="preserve">4 °C, </w:t>
      </w:r>
      <w:r>
        <w:rPr>
          <w:color w:val="000000" w:themeColor="text1"/>
        </w:rPr>
        <w:t xml:space="preserve">20 seconds to bring the solution the mixture to the bottom of the well. </w:t>
      </w:r>
    </w:p>
    <w:p w14:paraId="2D1DD364" w14:textId="77777777" w:rsidR="00F87325" w:rsidRPr="004A611E" w:rsidRDefault="00F87325" w:rsidP="00F87325">
      <w:pPr>
        <w:pStyle w:val="ListParagraph"/>
        <w:numPr>
          <w:ilvl w:val="1"/>
          <w:numId w:val="2"/>
        </w:numPr>
      </w:pPr>
      <w:r>
        <w:rPr>
          <w:color w:val="000000" w:themeColor="text1"/>
        </w:rPr>
        <w:t>Proceed with thermocycler at 95</w:t>
      </w:r>
      <w:r w:rsidRPr="003176F5">
        <w:rPr>
          <w:color w:val="000000" w:themeColor="text1"/>
        </w:rPr>
        <w:t>°C</w:t>
      </w:r>
      <w:r>
        <w:rPr>
          <w:color w:val="000000" w:themeColor="text1"/>
        </w:rPr>
        <w:t xml:space="preserve">, 1 minute for. This step denatures the gDNA into single strands. Immediately transfer plate to ice for 2 minutes to prevent re-hybridization of the single strands. </w:t>
      </w:r>
      <w:r>
        <w:t xml:space="preserve">Centrifuge at 100g, </w:t>
      </w:r>
      <w:r w:rsidRPr="003176F5">
        <w:rPr>
          <w:color w:val="000000" w:themeColor="text1"/>
        </w:rPr>
        <w:t xml:space="preserve">4 °C, </w:t>
      </w:r>
      <w:r>
        <w:rPr>
          <w:color w:val="000000" w:themeColor="text1"/>
        </w:rPr>
        <w:t xml:space="preserve">20 seconds and then place on ice again. </w:t>
      </w:r>
    </w:p>
    <w:p w14:paraId="6C435DFF" w14:textId="77777777" w:rsidR="00F87325" w:rsidRPr="006700E1" w:rsidRDefault="00F87325" w:rsidP="00F87325">
      <w:pPr>
        <w:pStyle w:val="ListParagraph"/>
        <w:numPr>
          <w:ilvl w:val="1"/>
          <w:numId w:val="2"/>
        </w:numPr>
      </w:pPr>
      <w:r>
        <w:t xml:space="preserve">To each well, add 1uL of </w:t>
      </w:r>
      <w:r w:rsidRPr="00AC7F39">
        <w:rPr>
          <w:color w:val="000000" w:themeColor="text1"/>
        </w:rPr>
        <w:t>Klenow</w:t>
      </w:r>
      <w:r>
        <w:rPr>
          <w:color w:val="000000" w:themeColor="text1"/>
        </w:rPr>
        <w:t xml:space="preserve"> </w:t>
      </w:r>
      <w:r w:rsidRPr="00AC7F39">
        <w:rPr>
          <w:color w:val="000000" w:themeColor="text1"/>
        </w:rPr>
        <w:t>fragment of</w:t>
      </w:r>
      <w:r>
        <w:rPr>
          <w:color w:val="000000" w:themeColor="text1"/>
        </w:rPr>
        <w:t xml:space="preserve"> </w:t>
      </w:r>
      <w:r w:rsidRPr="00AC7F39">
        <w:rPr>
          <w:color w:val="000000" w:themeColor="text1"/>
        </w:rPr>
        <w:t>DNA</w:t>
      </w:r>
      <w:r>
        <w:rPr>
          <w:color w:val="000000" w:themeColor="text1"/>
        </w:rPr>
        <w:t xml:space="preserve"> </w:t>
      </w:r>
      <w:r w:rsidRPr="00AC7F39">
        <w:rPr>
          <w:color w:val="000000" w:themeColor="text1"/>
        </w:rPr>
        <w:t>Polymerase</w:t>
      </w:r>
      <w:r>
        <w:rPr>
          <w:color w:val="000000" w:themeColor="text1"/>
        </w:rPr>
        <w:t xml:space="preserve"> and mix well. </w:t>
      </w:r>
      <w:r>
        <w:t xml:space="preserve">Centrifuge at 100g, </w:t>
      </w:r>
      <w:r w:rsidRPr="003176F5">
        <w:rPr>
          <w:color w:val="000000" w:themeColor="text1"/>
        </w:rPr>
        <w:t xml:space="preserve">4 °C, </w:t>
      </w:r>
      <w:r>
        <w:rPr>
          <w:color w:val="000000" w:themeColor="text1"/>
        </w:rPr>
        <w:t xml:space="preserve">20 seconds. </w:t>
      </w:r>
    </w:p>
    <w:p w14:paraId="6F79E217" w14:textId="77777777" w:rsidR="00F87325" w:rsidRPr="006700E1" w:rsidRDefault="00F87325" w:rsidP="00F87325">
      <w:pPr>
        <w:pStyle w:val="ListParagraph"/>
        <w:numPr>
          <w:ilvl w:val="1"/>
          <w:numId w:val="2"/>
        </w:numPr>
      </w:pPr>
      <w:r w:rsidRPr="006700E1">
        <w:rPr>
          <w:color w:val="000000" w:themeColor="text1"/>
        </w:rPr>
        <w:t>Proceed with thermocycler conditions-</w:t>
      </w:r>
    </w:p>
    <w:p w14:paraId="31E3801F" w14:textId="77777777" w:rsidR="00F87325" w:rsidRDefault="00F87325" w:rsidP="00F87325">
      <w:pPr>
        <w:pStyle w:val="ListParagraph"/>
        <w:ind w:left="360"/>
        <w:rPr>
          <w:color w:val="000000" w:themeColor="text1"/>
        </w:rPr>
      </w:pPr>
    </w:p>
    <w:tbl>
      <w:tblPr>
        <w:tblStyle w:val="TableGrid"/>
        <w:tblW w:w="0" w:type="auto"/>
        <w:tblInd w:w="720" w:type="dxa"/>
        <w:tblLook w:val="04A0" w:firstRow="1" w:lastRow="0" w:firstColumn="1" w:lastColumn="0" w:noHBand="0" w:noVBand="1"/>
      </w:tblPr>
      <w:tblGrid>
        <w:gridCol w:w="2929"/>
        <w:gridCol w:w="2844"/>
        <w:gridCol w:w="2857"/>
      </w:tblGrid>
      <w:tr w:rsidR="00F87325" w14:paraId="61084164" w14:textId="77777777" w:rsidTr="001E4848">
        <w:tc>
          <w:tcPr>
            <w:tcW w:w="3116" w:type="dxa"/>
          </w:tcPr>
          <w:p w14:paraId="7FB6F129" w14:textId="77777777" w:rsidR="00F87325" w:rsidRDefault="00F87325" w:rsidP="001E4848">
            <w:pPr>
              <w:pStyle w:val="ListParagraph"/>
              <w:ind w:left="0"/>
              <w:rPr>
                <w:color w:val="000000" w:themeColor="text1"/>
              </w:rPr>
            </w:pPr>
            <w:r>
              <w:rPr>
                <w:color w:val="000000" w:themeColor="text1"/>
              </w:rPr>
              <w:t>Temperature</w:t>
            </w:r>
          </w:p>
        </w:tc>
        <w:tc>
          <w:tcPr>
            <w:tcW w:w="3117" w:type="dxa"/>
          </w:tcPr>
          <w:p w14:paraId="284EB22C" w14:textId="77777777" w:rsidR="00F87325" w:rsidRDefault="00F87325" w:rsidP="001E4848">
            <w:pPr>
              <w:pStyle w:val="ListParagraph"/>
              <w:ind w:left="0"/>
              <w:rPr>
                <w:color w:val="000000" w:themeColor="text1"/>
              </w:rPr>
            </w:pPr>
            <w:r>
              <w:rPr>
                <w:color w:val="000000" w:themeColor="text1"/>
              </w:rPr>
              <w:t>Time</w:t>
            </w:r>
          </w:p>
        </w:tc>
        <w:tc>
          <w:tcPr>
            <w:tcW w:w="3117" w:type="dxa"/>
          </w:tcPr>
          <w:p w14:paraId="6E161A9F" w14:textId="77777777" w:rsidR="00F87325" w:rsidRDefault="00F87325" w:rsidP="001E4848">
            <w:pPr>
              <w:pStyle w:val="ListParagraph"/>
              <w:ind w:left="0"/>
              <w:rPr>
                <w:color w:val="000000" w:themeColor="text1"/>
              </w:rPr>
            </w:pPr>
            <w:r>
              <w:rPr>
                <w:color w:val="000000" w:themeColor="text1"/>
              </w:rPr>
              <w:t>Cycles</w:t>
            </w:r>
          </w:p>
        </w:tc>
      </w:tr>
      <w:tr w:rsidR="00F87325" w14:paraId="7A487CD7" w14:textId="77777777" w:rsidTr="001E4848">
        <w:tc>
          <w:tcPr>
            <w:tcW w:w="3116" w:type="dxa"/>
          </w:tcPr>
          <w:p w14:paraId="14C18E4B" w14:textId="77777777" w:rsidR="00F87325" w:rsidRDefault="00F87325" w:rsidP="001E4848">
            <w:pPr>
              <w:pStyle w:val="ListParagraph"/>
              <w:ind w:left="0"/>
              <w:rPr>
                <w:color w:val="000000" w:themeColor="text1"/>
              </w:rPr>
            </w:pPr>
            <w:r>
              <w:rPr>
                <w:color w:val="000000" w:themeColor="text1"/>
              </w:rPr>
              <w:t>16</w:t>
            </w:r>
            <w:r w:rsidRPr="00EE441F">
              <w:rPr>
                <w:color w:val="000000" w:themeColor="text1"/>
              </w:rPr>
              <w:t>°</w:t>
            </w:r>
            <w:r>
              <w:rPr>
                <w:color w:val="000000" w:themeColor="text1"/>
              </w:rPr>
              <w:t>C</w:t>
            </w:r>
          </w:p>
        </w:tc>
        <w:tc>
          <w:tcPr>
            <w:tcW w:w="3117" w:type="dxa"/>
          </w:tcPr>
          <w:p w14:paraId="607C9B7A" w14:textId="77777777" w:rsidR="00F87325" w:rsidRDefault="00F87325" w:rsidP="001E4848">
            <w:pPr>
              <w:pStyle w:val="ListParagraph"/>
              <w:ind w:left="0"/>
              <w:rPr>
                <w:color w:val="000000" w:themeColor="text1"/>
              </w:rPr>
            </w:pPr>
            <w:r>
              <w:rPr>
                <w:color w:val="000000" w:themeColor="text1"/>
              </w:rPr>
              <w:t>20 min</w:t>
            </w:r>
          </w:p>
        </w:tc>
        <w:tc>
          <w:tcPr>
            <w:tcW w:w="3117" w:type="dxa"/>
          </w:tcPr>
          <w:p w14:paraId="2765750F" w14:textId="77777777" w:rsidR="00F87325" w:rsidRDefault="00F87325" w:rsidP="001E4848">
            <w:pPr>
              <w:pStyle w:val="ListParagraph"/>
              <w:ind w:left="0"/>
              <w:rPr>
                <w:color w:val="000000" w:themeColor="text1"/>
              </w:rPr>
            </w:pPr>
            <w:r>
              <w:rPr>
                <w:color w:val="000000" w:themeColor="text1"/>
              </w:rPr>
              <w:t>1</w:t>
            </w:r>
          </w:p>
        </w:tc>
      </w:tr>
      <w:tr w:rsidR="00F87325" w14:paraId="4B49D4FD" w14:textId="77777777" w:rsidTr="001E4848">
        <w:tc>
          <w:tcPr>
            <w:tcW w:w="3116" w:type="dxa"/>
          </w:tcPr>
          <w:p w14:paraId="49EA2D61" w14:textId="77777777" w:rsidR="00F87325" w:rsidRDefault="00F87325" w:rsidP="001E4848">
            <w:pPr>
              <w:pStyle w:val="ListParagraph"/>
              <w:ind w:left="0"/>
              <w:rPr>
                <w:color w:val="000000" w:themeColor="text1"/>
              </w:rPr>
            </w:pPr>
            <w:r w:rsidRPr="00EE441F">
              <w:rPr>
                <w:color w:val="000000" w:themeColor="text1"/>
              </w:rPr>
              <w:t>24°C</w:t>
            </w:r>
          </w:p>
        </w:tc>
        <w:tc>
          <w:tcPr>
            <w:tcW w:w="3117" w:type="dxa"/>
          </w:tcPr>
          <w:p w14:paraId="37DBC405" w14:textId="77777777" w:rsidR="00F87325" w:rsidRDefault="00F87325" w:rsidP="001E4848">
            <w:pPr>
              <w:pStyle w:val="ListParagraph"/>
              <w:ind w:left="0"/>
              <w:rPr>
                <w:color w:val="000000" w:themeColor="text1"/>
              </w:rPr>
            </w:pPr>
            <w:r>
              <w:rPr>
                <w:color w:val="000000" w:themeColor="text1"/>
              </w:rPr>
              <w:t>20 min</w:t>
            </w:r>
          </w:p>
        </w:tc>
        <w:tc>
          <w:tcPr>
            <w:tcW w:w="3117" w:type="dxa"/>
          </w:tcPr>
          <w:p w14:paraId="04FBCF3C" w14:textId="77777777" w:rsidR="00F87325" w:rsidRDefault="00F87325" w:rsidP="001E4848">
            <w:pPr>
              <w:pStyle w:val="ListParagraph"/>
              <w:ind w:left="0"/>
              <w:rPr>
                <w:color w:val="000000" w:themeColor="text1"/>
              </w:rPr>
            </w:pPr>
            <w:r>
              <w:rPr>
                <w:color w:val="000000" w:themeColor="text1"/>
              </w:rPr>
              <w:t>1</w:t>
            </w:r>
          </w:p>
        </w:tc>
      </w:tr>
      <w:tr w:rsidR="00F87325" w14:paraId="46143692" w14:textId="77777777" w:rsidTr="001E4848">
        <w:tc>
          <w:tcPr>
            <w:tcW w:w="3116" w:type="dxa"/>
          </w:tcPr>
          <w:p w14:paraId="6A7CBD7B" w14:textId="77777777" w:rsidR="00F87325" w:rsidRDefault="00F87325" w:rsidP="001E4848">
            <w:pPr>
              <w:pStyle w:val="ListParagraph"/>
              <w:ind w:left="0"/>
              <w:rPr>
                <w:color w:val="000000" w:themeColor="text1"/>
              </w:rPr>
            </w:pPr>
            <w:r w:rsidRPr="00EE441F">
              <w:rPr>
                <w:color w:val="000000" w:themeColor="text1"/>
              </w:rPr>
              <w:t>37°C</w:t>
            </w:r>
          </w:p>
        </w:tc>
        <w:tc>
          <w:tcPr>
            <w:tcW w:w="3117" w:type="dxa"/>
          </w:tcPr>
          <w:p w14:paraId="4E7E1424" w14:textId="77777777" w:rsidR="00F87325" w:rsidRDefault="00F87325" w:rsidP="001E4848">
            <w:pPr>
              <w:pStyle w:val="ListParagraph"/>
              <w:ind w:left="0"/>
              <w:rPr>
                <w:color w:val="000000" w:themeColor="text1"/>
              </w:rPr>
            </w:pPr>
            <w:r>
              <w:rPr>
                <w:color w:val="000000" w:themeColor="text1"/>
              </w:rPr>
              <w:t>20 min</w:t>
            </w:r>
          </w:p>
        </w:tc>
        <w:tc>
          <w:tcPr>
            <w:tcW w:w="3117" w:type="dxa"/>
          </w:tcPr>
          <w:p w14:paraId="55D7779A" w14:textId="77777777" w:rsidR="00F87325" w:rsidRDefault="00F87325" w:rsidP="001E4848">
            <w:pPr>
              <w:pStyle w:val="ListParagraph"/>
              <w:ind w:left="0"/>
              <w:rPr>
                <w:color w:val="000000" w:themeColor="text1"/>
              </w:rPr>
            </w:pPr>
            <w:r>
              <w:rPr>
                <w:color w:val="000000" w:themeColor="text1"/>
              </w:rPr>
              <w:t>1</w:t>
            </w:r>
          </w:p>
        </w:tc>
      </w:tr>
      <w:tr w:rsidR="00F87325" w14:paraId="0C6D45B2" w14:textId="77777777" w:rsidTr="001E4848">
        <w:tc>
          <w:tcPr>
            <w:tcW w:w="3116" w:type="dxa"/>
          </w:tcPr>
          <w:p w14:paraId="107E60E6" w14:textId="77777777" w:rsidR="00F87325" w:rsidRDefault="00F87325" w:rsidP="001E4848">
            <w:pPr>
              <w:pStyle w:val="ListParagraph"/>
              <w:ind w:left="0"/>
              <w:rPr>
                <w:color w:val="000000" w:themeColor="text1"/>
              </w:rPr>
            </w:pPr>
            <w:r w:rsidRPr="00EE441F">
              <w:rPr>
                <w:color w:val="000000" w:themeColor="text1"/>
              </w:rPr>
              <w:t>75°C</w:t>
            </w:r>
          </w:p>
        </w:tc>
        <w:tc>
          <w:tcPr>
            <w:tcW w:w="3117" w:type="dxa"/>
          </w:tcPr>
          <w:p w14:paraId="5B581392" w14:textId="77777777" w:rsidR="00F87325" w:rsidRDefault="00F87325" w:rsidP="001E4848">
            <w:pPr>
              <w:pStyle w:val="ListParagraph"/>
              <w:ind w:left="0"/>
              <w:rPr>
                <w:color w:val="000000" w:themeColor="text1"/>
              </w:rPr>
            </w:pPr>
            <w:r>
              <w:rPr>
                <w:color w:val="000000" w:themeColor="text1"/>
              </w:rPr>
              <w:t>5 min</w:t>
            </w:r>
          </w:p>
        </w:tc>
        <w:tc>
          <w:tcPr>
            <w:tcW w:w="3117" w:type="dxa"/>
          </w:tcPr>
          <w:p w14:paraId="5CF3B4D5" w14:textId="77777777" w:rsidR="00F87325" w:rsidRDefault="00F87325" w:rsidP="001E4848">
            <w:pPr>
              <w:pStyle w:val="ListParagraph"/>
              <w:ind w:left="0"/>
              <w:rPr>
                <w:color w:val="000000" w:themeColor="text1"/>
              </w:rPr>
            </w:pPr>
            <w:r>
              <w:rPr>
                <w:color w:val="000000" w:themeColor="text1"/>
              </w:rPr>
              <w:t>1</w:t>
            </w:r>
          </w:p>
        </w:tc>
      </w:tr>
      <w:tr w:rsidR="00F87325" w14:paraId="0AC82DA3" w14:textId="77777777" w:rsidTr="001E4848">
        <w:tc>
          <w:tcPr>
            <w:tcW w:w="3116" w:type="dxa"/>
          </w:tcPr>
          <w:p w14:paraId="571769DF" w14:textId="77777777" w:rsidR="00F87325" w:rsidRDefault="00F87325" w:rsidP="001E4848">
            <w:pPr>
              <w:pStyle w:val="ListParagraph"/>
              <w:ind w:left="0"/>
              <w:rPr>
                <w:color w:val="000000" w:themeColor="text1"/>
              </w:rPr>
            </w:pPr>
            <w:r w:rsidRPr="00EE441F">
              <w:rPr>
                <w:color w:val="000000" w:themeColor="text1"/>
              </w:rPr>
              <w:t>4°C</w:t>
            </w:r>
          </w:p>
        </w:tc>
        <w:tc>
          <w:tcPr>
            <w:tcW w:w="3117" w:type="dxa"/>
          </w:tcPr>
          <w:p w14:paraId="3845704C" w14:textId="77777777" w:rsidR="00F87325" w:rsidRDefault="00F87325" w:rsidP="001E4848">
            <w:pPr>
              <w:pStyle w:val="ListParagraph"/>
              <w:ind w:left="0"/>
              <w:rPr>
                <w:color w:val="000000" w:themeColor="text1"/>
              </w:rPr>
            </w:pPr>
            <w:r>
              <w:rPr>
                <w:color w:val="000000" w:themeColor="text1"/>
              </w:rPr>
              <w:t>Hold</w:t>
            </w:r>
          </w:p>
        </w:tc>
        <w:tc>
          <w:tcPr>
            <w:tcW w:w="3117" w:type="dxa"/>
          </w:tcPr>
          <w:p w14:paraId="5AF1D6BE" w14:textId="77777777" w:rsidR="00F87325" w:rsidRDefault="00F87325" w:rsidP="001E4848">
            <w:pPr>
              <w:pStyle w:val="ListParagraph"/>
              <w:ind w:left="0"/>
              <w:rPr>
                <w:color w:val="000000" w:themeColor="text1"/>
              </w:rPr>
            </w:pPr>
            <w:r>
              <w:rPr>
                <w:color w:val="000000" w:themeColor="text1"/>
              </w:rPr>
              <w:t>1</w:t>
            </w:r>
          </w:p>
        </w:tc>
      </w:tr>
    </w:tbl>
    <w:p w14:paraId="3C8B8E4C" w14:textId="77777777" w:rsidR="00F87325" w:rsidRPr="006700E1" w:rsidRDefault="00F87325" w:rsidP="00F87325"/>
    <w:p w14:paraId="50DEC968" w14:textId="77777777" w:rsidR="00F87325" w:rsidRPr="006700E1" w:rsidRDefault="00F87325" w:rsidP="00F87325">
      <w:r>
        <w:t xml:space="preserve">             Centrifuge at 100g, </w:t>
      </w:r>
      <w:r w:rsidRPr="006700E1">
        <w:rPr>
          <w:color w:val="000000" w:themeColor="text1"/>
        </w:rPr>
        <w:t>4 °C, 20 seconds and place the plate on ice.</w:t>
      </w:r>
    </w:p>
    <w:p w14:paraId="0DE185C8" w14:textId="77777777" w:rsidR="00F87325" w:rsidRDefault="00F87325" w:rsidP="00F87325">
      <w:pPr>
        <w:pStyle w:val="ListParagraph"/>
        <w:ind w:left="360"/>
      </w:pPr>
    </w:p>
    <w:p w14:paraId="1FD60BD2" w14:textId="77777777" w:rsidR="00F87325" w:rsidRDefault="00F87325" w:rsidP="00F87325">
      <w:pPr>
        <w:pStyle w:val="ListParagraph"/>
        <w:ind w:left="360"/>
      </w:pPr>
      <w:r>
        <w:t>(PCR amplification of DNA fragments using custom primers)</w:t>
      </w:r>
    </w:p>
    <w:p w14:paraId="719039AC" w14:textId="77777777" w:rsidR="00F87325" w:rsidRPr="006700E1" w:rsidRDefault="00F87325" w:rsidP="00F87325">
      <w:pPr>
        <w:pStyle w:val="ListParagraph"/>
        <w:ind w:left="792"/>
      </w:pPr>
    </w:p>
    <w:p w14:paraId="45017924" w14:textId="77777777" w:rsidR="00F87325" w:rsidRDefault="00F87325" w:rsidP="00F87325">
      <w:pPr>
        <w:pStyle w:val="ListParagraph"/>
        <w:numPr>
          <w:ilvl w:val="1"/>
          <w:numId w:val="2"/>
        </w:numPr>
      </w:pPr>
      <w:r>
        <w:t xml:space="preserve">Prepare the ‘PCR master mix’ according to number of wells being processed. To each well, add 10uL of the WGA_RE primer (7 uM conc). Then add 78 uL of the PCR master mix to bring the </w:t>
      </w:r>
      <w:r w:rsidRPr="006700E1">
        <w:t>total volume of the well to 100uL.</w:t>
      </w:r>
      <w:r>
        <w:t xml:space="preserve"> </w:t>
      </w:r>
    </w:p>
    <w:p w14:paraId="64912514" w14:textId="77777777" w:rsidR="00F87325" w:rsidRPr="006700E1" w:rsidRDefault="00F87325" w:rsidP="00F87325">
      <w:pPr>
        <w:pStyle w:val="ListParagraph"/>
        <w:numPr>
          <w:ilvl w:val="1"/>
          <w:numId w:val="2"/>
        </w:numPr>
      </w:pPr>
      <w:r>
        <w:t xml:space="preserve">Mix well by pipetting multiple times until the beads are resuspended in the solution. Centrifuge at 100g, </w:t>
      </w:r>
      <w:r w:rsidRPr="003176F5">
        <w:rPr>
          <w:color w:val="000000" w:themeColor="text1"/>
        </w:rPr>
        <w:t xml:space="preserve">4 °C, </w:t>
      </w:r>
      <w:r>
        <w:rPr>
          <w:color w:val="000000" w:themeColor="text1"/>
        </w:rPr>
        <w:t xml:space="preserve">20 seconds. </w:t>
      </w:r>
    </w:p>
    <w:p w14:paraId="2F4869A7" w14:textId="77777777" w:rsidR="00F87325" w:rsidRPr="00FA6690" w:rsidRDefault="00F87325" w:rsidP="00F87325">
      <w:pPr>
        <w:pStyle w:val="ListParagraph"/>
        <w:numPr>
          <w:ilvl w:val="1"/>
          <w:numId w:val="2"/>
        </w:numPr>
      </w:pPr>
      <w:r w:rsidRPr="006700E1">
        <w:rPr>
          <w:color w:val="000000" w:themeColor="text1"/>
        </w:rPr>
        <w:t>Proceed with thermocycler conditions-</w:t>
      </w:r>
    </w:p>
    <w:p w14:paraId="0809E90A" w14:textId="77777777" w:rsidR="00F87325" w:rsidRPr="006700E1" w:rsidRDefault="00F87325" w:rsidP="00F87325">
      <w:pPr>
        <w:pStyle w:val="ListParagraph"/>
        <w:ind w:left="792"/>
      </w:pPr>
    </w:p>
    <w:tbl>
      <w:tblPr>
        <w:tblStyle w:val="TableGrid"/>
        <w:tblW w:w="0" w:type="auto"/>
        <w:tblInd w:w="720" w:type="dxa"/>
        <w:tblLook w:val="04A0" w:firstRow="1" w:lastRow="0" w:firstColumn="1" w:lastColumn="0" w:noHBand="0" w:noVBand="1"/>
      </w:tblPr>
      <w:tblGrid>
        <w:gridCol w:w="2907"/>
        <w:gridCol w:w="2850"/>
        <w:gridCol w:w="2873"/>
      </w:tblGrid>
      <w:tr w:rsidR="00F87325" w14:paraId="033D4B7D" w14:textId="77777777" w:rsidTr="001E4848">
        <w:tc>
          <w:tcPr>
            <w:tcW w:w="3116" w:type="dxa"/>
          </w:tcPr>
          <w:p w14:paraId="7F3DCF0A" w14:textId="77777777" w:rsidR="00F87325" w:rsidRDefault="00F87325" w:rsidP="001E4848">
            <w:pPr>
              <w:pStyle w:val="ListParagraph"/>
              <w:ind w:left="0"/>
              <w:rPr>
                <w:color w:val="000000" w:themeColor="text1"/>
              </w:rPr>
            </w:pPr>
            <w:r>
              <w:rPr>
                <w:color w:val="000000" w:themeColor="text1"/>
              </w:rPr>
              <w:t>Temperature</w:t>
            </w:r>
          </w:p>
        </w:tc>
        <w:tc>
          <w:tcPr>
            <w:tcW w:w="3117" w:type="dxa"/>
          </w:tcPr>
          <w:p w14:paraId="013CAB7F" w14:textId="77777777" w:rsidR="00F87325" w:rsidRDefault="00F87325" w:rsidP="001E4848">
            <w:pPr>
              <w:pStyle w:val="ListParagraph"/>
              <w:ind w:left="0"/>
              <w:rPr>
                <w:color w:val="000000" w:themeColor="text1"/>
              </w:rPr>
            </w:pPr>
            <w:r>
              <w:rPr>
                <w:color w:val="000000" w:themeColor="text1"/>
              </w:rPr>
              <w:t>Time</w:t>
            </w:r>
          </w:p>
        </w:tc>
        <w:tc>
          <w:tcPr>
            <w:tcW w:w="3117" w:type="dxa"/>
          </w:tcPr>
          <w:p w14:paraId="0F8BDA2B" w14:textId="77777777" w:rsidR="00F87325" w:rsidRDefault="00F87325" w:rsidP="001E4848">
            <w:pPr>
              <w:pStyle w:val="ListParagraph"/>
              <w:ind w:left="0"/>
              <w:rPr>
                <w:color w:val="000000" w:themeColor="text1"/>
              </w:rPr>
            </w:pPr>
            <w:r>
              <w:rPr>
                <w:color w:val="000000" w:themeColor="text1"/>
              </w:rPr>
              <w:t>Cycles</w:t>
            </w:r>
          </w:p>
        </w:tc>
      </w:tr>
      <w:tr w:rsidR="00F87325" w14:paraId="75643266" w14:textId="77777777" w:rsidTr="001E4848">
        <w:tc>
          <w:tcPr>
            <w:tcW w:w="3116" w:type="dxa"/>
          </w:tcPr>
          <w:p w14:paraId="6185AB4D" w14:textId="77777777" w:rsidR="00F87325" w:rsidRDefault="00F87325" w:rsidP="001E4848">
            <w:pPr>
              <w:pStyle w:val="ListParagraph"/>
              <w:ind w:left="0"/>
              <w:rPr>
                <w:color w:val="000000" w:themeColor="text1"/>
              </w:rPr>
            </w:pPr>
            <w:r>
              <w:rPr>
                <w:color w:val="000000" w:themeColor="text1"/>
              </w:rPr>
              <w:t>95</w:t>
            </w:r>
            <w:r w:rsidRPr="00EE441F">
              <w:rPr>
                <w:color w:val="000000" w:themeColor="text1"/>
              </w:rPr>
              <w:t>°</w:t>
            </w:r>
            <w:r>
              <w:rPr>
                <w:color w:val="000000" w:themeColor="text1"/>
              </w:rPr>
              <w:t>C</w:t>
            </w:r>
          </w:p>
        </w:tc>
        <w:tc>
          <w:tcPr>
            <w:tcW w:w="3117" w:type="dxa"/>
          </w:tcPr>
          <w:p w14:paraId="60098399" w14:textId="77777777" w:rsidR="00F87325" w:rsidRDefault="00F87325" w:rsidP="001E4848">
            <w:pPr>
              <w:pStyle w:val="ListParagraph"/>
              <w:ind w:left="0"/>
              <w:rPr>
                <w:color w:val="000000" w:themeColor="text1"/>
              </w:rPr>
            </w:pPr>
            <w:r>
              <w:rPr>
                <w:color w:val="000000" w:themeColor="text1"/>
              </w:rPr>
              <w:t>3 mins</w:t>
            </w:r>
          </w:p>
        </w:tc>
        <w:tc>
          <w:tcPr>
            <w:tcW w:w="3117" w:type="dxa"/>
          </w:tcPr>
          <w:p w14:paraId="680A7CD7" w14:textId="77777777" w:rsidR="00F87325" w:rsidRDefault="00F87325" w:rsidP="001E4848">
            <w:pPr>
              <w:pStyle w:val="ListParagraph"/>
              <w:ind w:left="0"/>
              <w:rPr>
                <w:color w:val="000000" w:themeColor="text1"/>
              </w:rPr>
            </w:pPr>
            <w:r>
              <w:rPr>
                <w:color w:val="000000" w:themeColor="text1"/>
              </w:rPr>
              <w:t>1</w:t>
            </w:r>
          </w:p>
        </w:tc>
      </w:tr>
      <w:tr w:rsidR="00F87325" w14:paraId="15DF0FB5" w14:textId="77777777" w:rsidTr="001E4848">
        <w:trPr>
          <w:trHeight w:val="440"/>
        </w:trPr>
        <w:tc>
          <w:tcPr>
            <w:tcW w:w="3116" w:type="dxa"/>
          </w:tcPr>
          <w:p w14:paraId="1FEE5B48" w14:textId="77777777" w:rsidR="00F87325" w:rsidRDefault="00F87325" w:rsidP="001E4848">
            <w:pPr>
              <w:pStyle w:val="ListParagraph"/>
              <w:ind w:left="0"/>
              <w:rPr>
                <w:color w:val="000000" w:themeColor="text1"/>
              </w:rPr>
            </w:pPr>
            <w:r>
              <w:rPr>
                <w:color w:val="000000" w:themeColor="text1"/>
              </w:rPr>
              <w:t>94</w:t>
            </w:r>
            <w:r w:rsidRPr="00EE441F">
              <w:rPr>
                <w:color w:val="000000" w:themeColor="text1"/>
              </w:rPr>
              <w:t>°</w:t>
            </w:r>
            <w:r>
              <w:rPr>
                <w:color w:val="000000" w:themeColor="text1"/>
              </w:rPr>
              <w:t>C</w:t>
            </w:r>
          </w:p>
        </w:tc>
        <w:tc>
          <w:tcPr>
            <w:tcW w:w="3117" w:type="dxa"/>
          </w:tcPr>
          <w:p w14:paraId="1630A61C" w14:textId="77777777" w:rsidR="00F87325" w:rsidRDefault="00F87325" w:rsidP="001E4848">
            <w:pPr>
              <w:pStyle w:val="ListParagraph"/>
              <w:ind w:left="0"/>
              <w:rPr>
                <w:color w:val="000000" w:themeColor="text1"/>
              </w:rPr>
            </w:pPr>
            <w:r>
              <w:rPr>
                <w:color w:val="000000" w:themeColor="text1"/>
              </w:rPr>
              <w:t>30 seconds</w:t>
            </w:r>
          </w:p>
        </w:tc>
        <w:tc>
          <w:tcPr>
            <w:tcW w:w="3117" w:type="dxa"/>
            <w:tcBorders>
              <w:bottom w:val="nil"/>
            </w:tcBorders>
          </w:tcPr>
          <w:p w14:paraId="6361488D" w14:textId="77777777" w:rsidR="00F87325" w:rsidRDefault="00F87325" w:rsidP="001E4848">
            <w:pPr>
              <w:pStyle w:val="ListParagraph"/>
              <w:ind w:left="0"/>
              <w:rPr>
                <w:color w:val="000000" w:themeColor="text1"/>
              </w:rPr>
            </w:pPr>
            <w:r>
              <w:rPr>
                <w:color w:val="000000" w:themeColor="text1"/>
              </w:rPr>
              <w:t>22-</w:t>
            </w:r>
            <w:r w:rsidRPr="00FA6690">
              <w:rPr>
                <w:color w:val="000000" w:themeColor="text1"/>
              </w:rPr>
              <w:t>24</w:t>
            </w:r>
          </w:p>
          <w:p w14:paraId="262934E6" w14:textId="77777777" w:rsidR="00F87325" w:rsidRDefault="00F87325" w:rsidP="001E4848">
            <w:pPr>
              <w:pStyle w:val="ListParagraph"/>
              <w:ind w:left="0"/>
              <w:rPr>
                <w:color w:val="000000" w:themeColor="text1"/>
              </w:rPr>
            </w:pPr>
            <w:r>
              <w:rPr>
                <w:color w:val="000000" w:themeColor="text1"/>
              </w:rPr>
              <w:t>(Cycle number needs to be optimized for different samples.)</w:t>
            </w:r>
          </w:p>
        </w:tc>
      </w:tr>
      <w:tr w:rsidR="00F87325" w14:paraId="1B235EA1" w14:textId="77777777" w:rsidTr="001E4848">
        <w:tc>
          <w:tcPr>
            <w:tcW w:w="3116" w:type="dxa"/>
          </w:tcPr>
          <w:p w14:paraId="296A566A" w14:textId="77777777" w:rsidR="00F87325" w:rsidRDefault="00F87325" w:rsidP="001E4848">
            <w:pPr>
              <w:pStyle w:val="ListParagraph"/>
              <w:ind w:left="0"/>
              <w:rPr>
                <w:color w:val="000000" w:themeColor="text1"/>
              </w:rPr>
            </w:pPr>
            <w:r>
              <w:rPr>
                <w:color w:val="000000" w:themeColor="text1"/>
              </w:rPr>
              <w:t>65</w:t>
            </w:r>
            <w:r w:rsidRPr="00EE441F">
              <w:rPr>
                <w:color w:val="000000" w:themeColor="text1"/>
              </w:rPr>
              <w:t>°</w:t>
            </w:r>
            <w:r>
              <w:rPr>
                <w:color w:val="000000" w:themeColor="text1"/>
              </w:rPr>
              <w:t>C</w:t>
            </w:r>
          </w:p>
        </w:tc>
        <w:tc>
          <w:tcPr>
            <w:tcW w:w="3117" w:type="dxa"/>
          </w:tcPr>
          <w:p w14:paraId="6F81FB2B" w14:textId="77777777" w:rsidR="00F87325" w:rsidRDefault="00F87325" w:rsidP="001E4848">
            <w:pPr>
              <w:pStyle w:val="ListParagraph"/>
              <w:ind w:left="0"/>
              <w:rPr>
                <w:color w:val="000000" w:themeColor="text1"/>
              </w:rPr>
            </w:pPr>
            <w:r>
              <w:rPr>
                <w:color w:val="000000" w:themeColor="text1"/>
              </w:rPr>
              <w:t>5 mins</w:t>
            </w:r>
          </w:p>
        </w:tc>
        <w:tc>
          <w:tcPr>
            <w:tcW w:w="3117" w:type="dxa"/>
            <w:tcBorders>
              <w:top w:val="nil"/>
            </w:tcBorders>
          </w:tcPr>
          <w:p w14:paraId="688D9894" w14:textId="77777777" w:rsidR="00F87325" w:rsidRDefault="00F87325" w:rsidP="001E4848">
            <w:pPr>
              <w:pStyle w:val="ListParagraph"/>
              <w:ind w:left="0"/>
              <w:rPr>
                <w:color w:val="000000" w:themeColor="text1"/>
              </w:rPr>
            </w:pPr>
          </w:p>
        </w:tc>
      </w:tr>
      <w:tr w:rsidR="00F87325" w14:paraId="77AEE400" w14:textId="77777777" w:rsidTr="001E4848">
        <w:tc>
          <w:tcPr>
            <w:tcW w:w="3116" w:type="dxa"/>
          </w:tcPr>
          <w:p w14:paraId="36F1F971" w14:textId="77777777" w:rsidR="00F87325" w:rsidRDefault="00F87325" w:rsidP="001E4848">
            <w:pPr>
              <w:pStyle w:val="ListParagraph"/>
              <w:ind w:left="0"/>
              <w:rPr>
                <w:color w:val="000000" w:themeColor="text1"/>
              </w:rPr>
            </w:pPr>
            <w:r>
              <w:rPr>
                <w:color w:val="000000" w:themeColor="text1"/>
              </w:rPr>
              <w:t>65</w:t>
            </w:r>
            <w:r w:rsidRPr="00EE441F">
              <w:rPr>
                <w:color w:val="000000" w:themeColor="text1"/>
              </w:rPr>
              <w:t>°</w:t>
            </w:r>
            <w:r>
              <w:rPr>
                <w:color w:val="000000" w:themeColor="text1"/>
              </w:rPr>
              <w:t>C</w:t>
            </w:r>
          </w:p>
        </w:tc>
        <w:tc>
          <w:tcPr>
            <w:tcW w:w="3117" w:type="dxa"/>
          </w:tcPr>
          <w:p w14:paraId="7BFB2B4E" w14:textId="77777777" w:rsidR="00F87325" w:rsidRDefault="00F87325" w:rsidP="001E4848">
            <w:pPr>
              <w:pStyle w:val="ListParagraph"/>
              <w:ind w:left="0"/>
              <w:rPr>
                <w:color w:val="000000" w:themeColor="text1"/>
              </w:rPr>
            </w:pPr>
            <w:r>
              <w:rPr>
                <w:color w:val="000000" w:themeColor="text1"/>
              </w:rPr>
              <w:t>30 mins</w:t>
            </w:r>
          </w:p>
        </w:tc>
        <w:tc>
          <w:tcPr>
            <w:tcW w:w="3117" w:type="dxa"/>
          </w:tcPr>
          <w:p w14:paraId="6DB94592" w14:textId="77777777" w:rsidR="00F87325" w:rsidRDefault="00F87325" w:rsidP="001E4848">
            <w:pPr>
              <w:pStyle w:val="ListParagraph"/>
              <w:ind w:left="0"/>
              <w:rPr>
                <w:color w:val="000000" w:themeColor="text1"/>
              </w:rPr>
            </w:pPr>
            <w:r>
              <w:rPr>
                <w:color w:val="000000" w:themeColor="text1"/>
              </w:rPr>
              <w:t>1</w:t>
            </w:r>
          </w:p>
        </w:tc>
      </w:tr>
      <w:tr w:rsidR="00F87325" w14:paraId="7691E74C" w14:textId="77777777" w:rsidTr="001E4848">
        <w:tc>
          <w:tcPr>
            <w:tcW w:w="3116" w:type="dxa"/>
          </w:tcPr>
          <w:p w14:paraId="0B6DDED8" w14:textId="77777777" w:rsidR="00F87325" w:rsidRDefault="00F87325" w:rsidP="001E4848">
            <w:pPr>
              <w:pStyle w:val="ListParagraph"/>
              <w:ind w:left="0"/>
              <w:rPr>
                <w:color w:val="000000" w:themeColor="text1"/>
              </w:rPr>
            </w:pPr>
            <w:r>
              <w:rPr>
                <w:color w:val="000000" w:themeColor="text1"/>
              </w:rPr>
              <w:t>4</w:t>
            </w:r>
            <w:r w:rsidRPr="00EE441F">
              <w:rPr>
                <w:color w:val="000000" w:themeColor="text1"/>
              </w:rPr>
              <w:t>°</w:t>
            </w:r>
            <w:r>
              <w:rPr>
                <w:color w:val="000000" w:themeColor="text1"/>
              </w:rPr>
              <w:t>C</w:t>
            </w:r>
          </w:p>
        </w:tc>
        <w:tc>
          <w:tcPr>
            <w:tcW w:w="3117" w:type="dxa"/>
          </w:tcPr>
          <w:p w14:paraId="110ACE47" w14:textId="77777777" w:rsidR="00F87325" w:rsidRDefault="00F87325" w:rsidP="001E4848">
            <w:pPr>
              <w:pStyle w:val="ListParagraph"/>
              <w:ind w:left="0"/>
              <w:rPr>
                <w:color w:val="000000" w:themeColor="text1"/>
              </w:rPr>
            </w:pPr>
            <w:r>
              <w:rPr>
                <w:color w:val="000000" w:themeColor="text1"/>
              </w:rPr>
              <w:t>Hold</w:t>
            </w:r>
          </w:p>
        </w:tc>
        <w:tc>
          <w:tcPr>
            <w:tcW w:w="3117" w:type="dxa"/>
          </w:tcPr>
          <w:p w14:paraId="66982A0B" w14:textId="77777777" w:rsidR="00F87325" w:rsidRDefault="00F87325" w:rsidP="001E4848">
            <w:pPr>
              <w:pStyle w:val="ListParagraph"/>
              <w:ind w:left="0"/>
              <w:rPr>
                <w:color w:val="000000" w:themeColor="text1"/>
              </w:rPr>
            </w:pPr>
            <w:r>
              <w:rPr>
                <w:color w:val="000000" w:themeColor="text1"/>
              </w:rPr>
              <w:t>1</w:t>
            </w:r>
          </w:p>
        </w:tc>
      </w:tr>
    </w:tbl>
    <w:p w14:paraId="56633FC0" w14:textId="77777777" w:rsidR="00F87325" w:rsidRDefault="00F87325" w:rsidP="00F87325"/>
    <w:p w14:paraId="38918D3B" w14:textId="77777777" w:rsidR="00F87325" w:rsidRDefault="00F87325" w:rsidP="00F87325">
      <w:pPr>
        <w:pStyle w:val="ListParagraph"/>
        <w:rPr>
          <w:color w:val="000000" w:themeColor="text1"/>
        </w:rPr>
      </w:pPr>
      <w:r w:rsidRPr="00645A17">
        <w:rPr>
          <w:b/>
          <w:bCs/>
          <w:color w:val="FF0000"/>
        </w:rPr>
        <w:t>PAUSE POINT</w:t>
      </w:r>
      <w:r>
        <w:t xml:space="preserve">- Amplified gDNA can be stored at </w:t>
      </w:r>
      <w:r w:rsidRPr="003176F5">
        <w:rPr>
          <w:color w:val="000000" w:themeColor="text1"/>
        </w:rPr>
        <w:t>4 °C</w:t>
      </w:r>
      <w:r>
        <w:rPr>
          <w:color w:val="000000" w:themeColor="text1"/>
        </w:rPr>
        <w:t xml:space="preserve"> overnight before proceeding with next steps.</w:t>
      </w:r>
    </w:p>
    <w:p w14:paraId="42E3DA2A" w14:textId="77777777" w:rsidR="00F87325" w:rsidRDefault="00F87325" w:rsidP="00F87325">
      <w:pPr>
        <w:pStyle w:val="ListParagraph"/>
        <w:rPr>
          <w:color w:val="000000" w:themeColor="text1"/>
        </w:rPr>
      </w:pPr>
    </w:p>
    <w:p w14:paraId="3A354CE8" w14:textId="77777777" w:rsidR="00F87325" w:rsidRDefault="00F87325" w:rsidP="00F87325">
      <w:pPr>
        <w:pStyle w:val="ListParagraph"/>
        <w:numPr>
          <w:ilvl w:val="0"/>
          <w:numId w:val="2"/>
        </w:numPr>
        <w:rPr>
          <w:b/>
          <w:bCs/>
        </w:rPr>
      </w:pPr>
      <w:r>
        <w:rPr>
          <w:b/>
          <w:bCs/>
        </w:rPr>
        <w:t>Purification of Amplified gDNA</w:t>
      </w:r>
    </w:p>
    <w:p w14:paraId="29D43D58" w14:textId="77777777" w:rsidR="00F87325" w:rsidRDefault="00F87325" w:rsidP="00F87325">
      <w:pPr>
        <w:pStyle w:val="ListParagraph"/>
        <w:numPr>
          <w:ilvl w:val="1"/>
          <w:numId w:val="2"/>
        </w:numPr>
      </w:pPr>
      <w:r>
        <w:lastRenderedPageBreak/>
        <w:t xml:space="preserve">Ampure XP beads need to be warmed to room temperature for approximately 15 minutes and then mixed well before use. Centrifuge the plate with amplified gDNA at 1000g, </w:t>
      </w:r>
      <w:r w:rsidRPr="003176F5">
        <w:rPr>
          <w:color w:val="000000" w:themeColor="text1"/>
        </w:rPr>
        <w:t xml:space="preserve">4 °C, </w:t>
      </w:r>
      <w:r>
        <w:rPr>
          <w:color w:val="000000" w:themeColor="text1"/>
        </w:rPr>
        <w:t xml:space="preserve">1 minute. </w:t>
      </w:r>
    </w:p>
    <w:p w14:paraId="4E42235F" w14:textId="77777777" w:rsidR="00F87325" w:rsidRPr="00184F70" w:rsidRDefault="00F87325" w:rsidP="00F87325">
      <w:pPr>
        <w:pStyle w:val="ListParagraph"/>
        <w:numPr>
          <w:ilvl w:val="1"/>
          <w:numId w:val="2"/>
        </w:numPr>
        <w:rPr>
          <w:b/>
          <w:bCs/>
        </w:rPr>
      </w:pPr>
      <w:r w:rsidRPr="003176F5">
        <w:t xml:space="preserve">To </w:t>
      </w:r>
      <w:r>
        <w:t>100</w:t>
      </w:r>
      <w:r w:rsidRPr="003176F5">
        <w:t xml:space="preserve"> uL</w:t>
      </w:r>
      <w:r>
        <w:t xml:space="preserve"> of amplified gDNA solution per well (also contains beads from the previous gDNA isolation step), add 100 uL of AMPure XP beads (1:1 ratio) and mix well by pipetting multiple times until all the beads are suspended in the buffer. The total volume of the solution is now 200uL.</w:t>
      </w:r>
    </w:p>
    <w:p w14:paraId="5A53DB83" w14:textId="77777777" w:rsidR="00F87325" w:rsidRPr="00184F70" w:rsidRDefault="00F87325" w:rsidP="00F87325">
      <w:pPr>
        <w:pStyle w:val="ListParagraph"/>
        <w:numPr>
          <w:ilvl w:val="1"/>
          <w:numId w:val="2"/>
        </w:numPr>
        <w:rPr>
          <w:b/>
          <w:bCs/>
        </w:rPr>
      </w:pPr>
      <w:r>
        <w:t>T</w:t>
      </w:r>
      <w:r w:rsidRPr="00184F70">
        <w:rPr>
          <w:color w:val="000000" w:themeColor="text1"/>
        </w:rPr>
        <w:t>ransfer 100 uL (half the total volume) from each original</w:t>
      </w:r>
      <w:r>
        <w:rPr>
          <w:color w:val="000000" w:themeColor="text1"/>
        </w:rPr>
        <w:t xml:space="preserve"> ‘old’</w:t>
      </w:r>
      <w:r w:rsidRPr="00184F70">
        <w:rPr>
          <w:color w:val="000000" w:themeColor="text1"/>
        </w:rPr>
        <w:t xml:space="preserve"> well into </w:t>
      </w:r>
      <w:r>
        <w:rPr>
          <w:color w:val="000000" w:themeColor="text1"/>
        </w:rPr>
        <w:t>‘</w:t>
      </w:r>
      <w:r w:rsidRPr="00184F70">
        <w:rPr>
          <w:color w:val="000000" w:themeColor="text1"/>
        </w:rPr>
        <w:t>new</w:t>
      </w:r>
      <w:r>
        <w:rPr>
          <w:color w:val="000000" w:themeColor="text1"/>
        </w:rPr>
        <w:t>’</w:t>
      </w:r>
      <w:r w:rsidRPr="00184F70">
        <w:rPr>
          <w:color w:val="000000" w:themeColor="text1"/>
        </w:rPr>
        <w:t xml:space="preserve"> wells of a 96-well plate while maintaining well identity. </w:t>
      </w:r>
      <w:r>
        <w:t xml:space="preserve">Allow the mixture to stand for </w:t>
      </w:r>
      <w:r w:rsidRPr="00184F70">
        <w:rPr>
          <w:color w:val="000000" w:themeColor="text1"/>
        </w:rPr>
        <w:t xml:space="preserve">7 minutes </w:t>
      </w:r>
      <w:r>
        <w:t xml:space="preserve">at room temperature in old and new plates. This allows the gDNA to bind to the beads. </w:t>
      </w:r>
    </w:p>
    <w:p w14:paraId="5E190EEC" w14:textId="77777777" w:rsidR="00F87325" w:rsidRPr="00184F70" w:rsidRDefault="00F87325" w:rsidP="00F87325">
      <w:pPr>
        <w:ind w:left="180"/>
        <w:rPr>
          <w:b/>
          <w:bCs/>
        </w:rPr>
      </w:pPr>
    </w:p>
    <w:p w14:paraId="025E67E1" w14:textId="77777777" w:rsidR="00F87325" w:rsidRDefault="00F87325" w:rsidP="00F87325">
      <w:pPr>
        <w:pStyle w:val="ListParagraph"/>
        <w:ind w:left="612"/>
        <w:rPr>
          <w:color w:val="000000" w:themeColor="text1"/>
        </w:rPr>
      </w:pPr>
      <w:r w:rsidRPr="00184F70">
        <w:rPr>
          <w:color w:val="FF0000"/>
        </w:rPr>
        <w:t>NOTE:</w:t>
      </w:r>
      <w:r>
        <w:t xml:space="preserve"> </w:t>
      </w:r>
      <w:r w:rsidRPr="00184F70">
        <w:rPr>
          <w:color w:val="000000" w:themeColor="text1"/>
        </w:rPr>
        <w:t xml:space="preserve">As the </w:t>
      </w:r>
      <w:r>
        <w:rPr>
          <w:color w:val="000000" w:themeColor="text1"/>
        </w:rPr>
        <w:t>original</w:t>
      </w:r>
      <w:r w:rsidRPr="00184F70">
        <w:rPr>
          <w:color w:val="000000" w:themeColor="text1"/>
        </w:rPr>
        <w:t xml:space="preserve"> volume is 200 uL with the beads, splitting into </w:t>
      </w:r>
      <w:r>
        <w:rPr>
          <w:color w:val="000000" w:themeColor="text1"/>
        </w:rPr>
        <w:t>‘</w:t>
      </w:r>
      <w:r w:rsidRPr="00184F70">
        <w:rPr>
          <w:color w:val="000000" w:themeColor="text1"/>
        </w:rPr>
        <w:t>new</w:t>
      </w:r>
      <w:r>
        <w:rPr>
          <w:color w:val="000000" w:themeColor="text1"/>
        </w:rPr>
        <w:t>’</w:t>
      </w:r>
      <w:r w:rsidRPr="00184F70">
        <w:rPr>
          <w:color w:val="000000" w:themeColor="text1"/>
        </w:rPr>
        <w:t xml:space="preserve"> wells will help </w:t>
      </w:r>
      <w:r>
        <w:rPr>
          <w:color w:val="000000" w:themeColor="text1"/>
        </w:rPr>
        <w:t xml:space="preserve">speed up </w:t>
      </w:r>
      <w:r w:rsidRPr="00184F70">
        <w:rPr>
          <w:color w:val="000000" w:themeColor="text1"/>
        </w:rPr>
        <w:t>bead settling</w:t>
      </w:r>
      <w:r>
        <w:rPr>
          <w:color w:val="000000" w:themeColor="text1"/>
        </w:rPr>
        <w:t xml:space="preserve"> with the elution magnet</w:t>
      </w:r>
      <w:r w:rsidRPr="00184F70">
        <w:rPr>
          <w:color w:val="000000" w:themeColor="text1"/>
        </w:rPr>
        <w:t xml:space="preserve"> in the next step. From this point on, treat </w:t>
      </w:r>
      <w:r>
        <w:rPr>
          <w:color w:val="000000" w:themeColor="text1"/>
        </w:rPr>
        <w:t>‘</w:t>
      </w:r>
      <w:r w:rsidRPr="00184F70">
        <w:rPr>
          <w:color w:val="000000" w:themeColor="text1"/>
        </w:rPr>
        <w:t>old</w:t>
      </w:r>
      <w:r>
        <w:rPr>
          <w:color w:val="000000" w:themeColor="text1"/>
        </w:rPr>
        <w:t>’</w:t>
      </w:r>
      <w:r w:rsidRPr="00184F70">
        <w:rPr>
          <w:color w:val="000000" w:themeColor="text1"/>
        </w:rPr>
        <w:t xml:space="preserve"> and </w:t>
      </w:r>
      <w:r>
        <w:rPr>
          <w:color w:val="000000" w:themeColor="text1"/>
        </w:rPr>
        <w:t>‘</w:t>
      </w:r>
      <w:r w:rsidRPr="00184F70">
        <w:rPr>
          <w:color w:val="000000" w:themeColor="text1"/>
        </w:rPr>
        <w:t>new</w:t>
      </w:r>
      <w:r>
        <w:rPr>
          <w:color w:val="000000" w:themeColor="text1"/>
        </w:rPr>
        <w:t>’</w:t>
      </w:r>
      <w:r w:rsidRPr="00F04352">
        <w:rPr>
          <w:color w:val="000000" w:themeColor="text1"/>
        </w:rPr>
        <w:t xml:space="preserve"> plates as separate samples until after elution in </w:t>
      </w:r>
      <w:r w:rsidRPr="00F04352">
        <w:rPr>
          <w:color w:val="70AD47" w:themeColor="accent6"/>
        </w:rPr>
        <w:t xml:space="preserve">Step --. </w:t>
      </w:r>
      <w:r w:rsidRPr="00F04352">
        <w:rPr>
          <w:color w:val="000000" w:themeColor="text1"/>
        </w:rPr>
        <w:t>Both need to be processed through the following steps.</w:t>
      </w:r>
    </w:p>
    <w:p w14:paraId="7AC3C4AD" w14:textId="77777777" w:rsidR="00F87325" w:rsidRPr="00F04352" w:rsidRDefault="00F87325" w:rsidP="00F87325">
      <w:pPr>
        <w:pStyle w:val="ListParagraph"/>
        <w:ind w:left="612"/>
        <w:rPr>
          <w:color w:val="000000" w:themeColor="text1"/>
        </w:rPr>
      </w:pPr>
    </w:p>
    <w:p w14:paraId="435D2BEB" w14:textId="77777777" w:rsidR="00F87325" w:rsidRDefault="00F87325" w:rsidP="00F87325">
      <w:pPr>
        <w:pStyle w:val="ListParagraph"/>
        <w:numPr>
          <w:ilvl w:val="1"/>
          <w:numId w:val="2"/>
        </w:numPr>
      </w:pPr>
      <w:r w:rsidRPr="00965CB9">
        <w:t>Transfer</w:t>
      </w:r>
      <w:r>
        <w:t xml:space="preserve"> the gDNA plate with the beads onto a low-elution magnet. Allow the plate to stand for ~5-7 minutes until the solution is clear and the beads have attached to the bottom of the plates. </w:t>
      </w:r>
    </w:p>
    <w:p w14:paraId="686AA591" w14:textId="77777777" w:rsidR="00F87325" w:rsidRDefault="00F87325" w:rsidP="00F87325">
      <w:pPr>
        <w:pStyle w:val="ListParagraph"/>
        <w:numPr>
          <w:ilvl w:val="1"/>
          <w:numId w:val="2"/>
        </w:numPr>
      </w:pPr>
      <w:r>
        <w:t>Carefully remove and discard the supernatant from each well without disturbing the beads.</w:t>
      </w:r>
    </w:p>
    <w:p w14:paraId="5E5EABA7" w14:textId="77777777" w:rsidR="00F87325" w:rsidRDefault="00F87325" w:rsidP="00F87325">
      <w:pPr>
        <w:pStyle w:val="ListParagraph"/>
        <w:numPr>
          <w:ilvl w:val="1"/>
          <w:numId w:val="2"/>
        </w:numPr>
      </w:pPr>
      <w:r>
        <w:t>With the plate on the magnet and without disturbing the beads, add 100uL of freshly prepared 80% ethanol (vol/vol) onto the beads. After 30 seconds, remove and discard the ethanol.</w:t>
      </w:r>
    </w:p>
    <w:p w14:paraId="70EC08CC" w14:textId="77777777" w:rsidR="00F87325" w:rsidRDefault="00F87325" w:rsidP="00F87325">
      <w:pPr>
        <w:pStyle w:val="ListParagraph"/>
        <w:numPr>
          <w:ilvl w:val="1"/>
          <w:numId w:val="2"/>
        </w:numPr>
      </w:pPr>
      <w:r>
        <w:t xml:space="preserve">Repeat </w:t>
      </w:r>
      <w:r w:rsidRPr="00184F70">
        <w:rPr>
          <w:color w:val="70AD47" w:themeColor="accent6"/>
        </w:rPr>
        <w:t xml:space="preserve">step 4.6 </w:t>
      </w:r>
      <w:r>
        <w:t xml:space="preserve">again. Allow the beads to dry for ~2-3 minutes. Meanwhile, using a 10uL multichannel pipette remove any remaining ethanol in the wells. </w:t>
      </w:r>
    </w:p>
    <w:p w14:paraId="2A1A5FDD" w14:textId="77777777" w:rsidR="00F87325" w:rsidRDefault="00F87325" w:rsidP="00F87325">
      <w:pPr>
        <w:pStyle w:val="ListParagraph"/>
        <w:ind w:left="792"/>
        <w:rPr>
          <w:highlight w:val="red"/>
        </w:rPr>
      </w:pPr>
    </w:p>
    <w:p w14:paraId="50DC6E63" w14:textId="77777777" w:rsidR="00F87325" w:rsidRDefault="00F87325" w:rsidP="00F87325">
      <w:pPr>
        <w:pStyle w:val="ListParagraph"/>
        <w:ind w:left="792"/>
        <w:rPr>
          <w:b/>
          <w:bCs/>
        </w:rPr>
      </w:pPr>
      <w:r w:rsidRPr="00645A17">
        <w:rPr>
          <w:b/>
          <w:bCs/>
          <w:color w:val="FF0000"/>
        </w:rPr>
        <w:t>CRITICAL:</w:t>
      </w:r>
      <w:r w:rsidRPr="00645A17">
        <w:rPr>
          <w:color w:val="FF0000"/>
        </w:rPr>
        <w:t xml:space="preserve"> </w:t>
      </w:r>
      <w:r>
        <w:t xml:space="preserve">Do not allow the beads to dry too long as this will disrupt the gDNA attached to the beads. </w:t>
      </w:r>
      <w:r w:rsidRPr="003176F5">
        <w:rPr>
          <w:b/>
          <w:bCs/>
        </w:rPr>
        <w:t>Proceed immediately to the next step.</w:t>
      </w:r>
    </w:p>
    <w:p w14:paraId="3383A249" w14:textId="77777777" w:rsidR="00F87325" w:rsidRPr="003176F5" w:rsidRDefault="00F87325" w:rsidP="00F87325">
      <w:pPr>
        <w:pStyle w:val="ListParagraph"/>
        <w:ind w:left="792"/>
        <w:rPr>
          <w:b/>
          <w:bCs/>
        </w:rPr>
      </w:pPr>
    </w:p>
    <w:p w14:paraId="5BF58796" w14:textId="77777777" w:rsidR="00F87325" w:rsidRDefault="00F87325" w:rsidP="00F87325">
      <w:pPr>
        <w:pStyle w:val="ListParagraph"/>
        <w:numPr>
          <w:ilvl w:val="1"/>
          <w:numId w:val="2"/>
        </w:numPr>
      </w:pPr>
      <w:r w:rsidRPr="00184F70">
        <w:t xml:space="preserve">Add </w:t>
      </w:r>
      <w:r>
        <w:t xml:space="preserve">25 </w:t>
      </w:r>
      <w:r w:rsidRPr="00184F70">
        <w:t>uL of nuclease free water to each well with the beads.</w:t>
      </w:r>
      <w:r>
        <w:t xml:space="preserve"> Take the plates off the magnet and mix with repeated pipetting until the beads are completely resuspended.</w:t>
      </w:r>
    </w:p>
    <w:p w14:paraId="755F60C0" w14:textId="77777777" w:rsidR="00F87325" w:rsidRDefault="00F87325" w:rsidP="00F87325">
      <w:pPr>
        <w:pStyle w:val="ListParagraph"/>
        <w:ind w:left="612"/>
        <w:rPr>
          <w:color w:val="FF0000"/>
        </w:rPr>
      </w:pPr>
    </w:p>
    <w:p w14:paraId="670FAF17" w14:textId="77777777" w:rsidR="00F87325" w:rsidRDefault="00F87325" w:rsidP="00F87325">
      <w:pPr>
        <w:pStyle w:val="ListParagraph"/>
        <w:ind w:left="612"/>
      </w:pPr>
      <w:r w:rsidRPr="000B197B">
        <w:rPr>
          <w:color w:val="FF0000"/>
        </w:rPr>
        <w:t>NOTE</w:t>
      </w:r>
      <w:r>
        <w:rPr>
          <w:color w:val="FF0000"/>
        </w:rPr>
        <w:t>:</w:t>
      </w:r>
      <w:r w:rsidRPr="000B197B">
        <w:t xml:space="preserve"> </w:t>
      </w:r>
      <w:r>
        <w:t>Total elution volume per sample is 50uL which is divided between the ‘old’ and ‘new’ plates (25uL+25uL). Elution volume depends on final concentration of gDNA/uL required per cell. Start with recommended volumes, you can dilute with more water to reduce concentration of gDNA/uL after quantification.</w:t>
      </w:r>
    </w:p>
    <w:p w14:paraId="5FBD039C" w14:textId="77777777" w:rsidR="00F87325" w:rsidRDefault="00F87325" w:rsidP="00F87325">
      <w:pPr>
        <w:pStyle w:val="ListParagraph"/>
        <w:ind w:left="612"/>
      </w:pPr>
    </w:p>
    <w:p w14:paraId="714053FB" w14:textId="77777777" w:rsidR="00F87325" w:rsidRDefault="00F87325" w:rsidP="00F87325">
      <w:pPr>
        <w:pStyle w:val="ListParagraph"/>
        <w:numPr>
          <w:ilvl w:val="1"/>
          <w:numId w:val="2"/>
        </w:numPr>
      </w:pPr>
      <w:r>
        <w:t>Incubate the plates for 2 minutes off the magnet at room temperature.</w:t>
      </w:r>
    </w:p>
    <w:p w14:paraId="4BE2BBFE" w14:textId="77777777" w:rsidR="00F87325" w:rsidRDefault="00F87325" w:rsidP="00F87325">
      <w:pPr>
        <w:pStyle w:val="ListParagraph"/>
        <w:numPr>
          <w:ilvl w:val="1"/>
          <w:numId w:val="2"/>
        </w:numPr>
      </w:pPr>
      <w:r>
        <w:t>Return the plates to the low elution magnet. Incubate for ~5 minutes or until the beads have completely settled down and the supernatant is clear.</w:t>
      </w:r>
    </w:p>
    <w:p w14:paraId="5452EA32" w14:textId="77777777" w:rsidR="00F87325" w:rsidRDefault="00F87325" w:rsidP="00F87325">
      <w:pPr>
        <w:pStyle w:val="ListParagraph"/>
        <w:numPr>
          <w:ilvl w:val="1"/>
          <w:numId w:val="2"/>
        </w:numPr>
      </w:pPr>
      <w:r>
        <w:t xml:space="preserve">Carefully remove the supernatant and transfer it to new wells of a 96-well plate labelled ‘purified amplified gDNA’ plate. At this step, you can combine the supernatant from the </w:t>
      </w:r>
      <w:r>
        <w:lastRenderedPageBreak/>
        <w:t xml:space="preserve">‘old’ and ‘new’ wells while maintaining well identity. Centrifuge the plate with amplified gDNA at 1000g, </w:t>
      </w:r>
      <w:r w:rsidRPr="003176F5">
        <w:rPr>
          <w:color w:val="000000" w:themeColor="text1"/>
        </w:rPr>
        <w:t xml:space="preserve">4 °C, </w:t>
      </w:r>
      <w:r>
        <w:rPr>
          <w:color w:val="000000" w:themeColor="text1"/>
        </w:rPr>
        <w:t xml:space="preserve">1 minute. </w:t>
      </w:r>
    </w:p>
    <w:p w14:paraId="0BEF61B9" w14:textId="77777777" w:rsidR="00F87325" w:rsidRDefault="00F87325" w:rsidP="00F87325">
      <w:pPr>
        <w:pStyle w:val="ListParagraph"/>
        <w:ind w:left="612"/>
      </w:pPr>
    </w:p>
    <w:p w14:paraId="7984BCB6" w14:textId="77777777" w:rsidR="00F87325" w:rsidRDefault="00F87325" w:rsidP="00F87325">
      <w:pPr>
        <w:pStyle w:val="ListParagraph"/>
        <w:ind w:left="612"/>
        <w:rPr>
          <w:color w:val="000000" w:themeColor="text1"/>
        </w:rPr>
      </w:pPr>
      <w:r w:rsidRPr="002D2C81">
        <w:rPr>
          <w:color w:val="FF0000"/>
        </w:rPr>
        <w:t xml:space="preserve">PAUSE POINT: </w:t>
      </w:r>
      <w:r>
        <w:t>The purified amplified gDNA can be stored at -20</w:t>
      </w:r>
      <w:r w:rsidRPr="00EE441F">
        <w:rPr>
          <w:color w:val="000000" w:themeColor="text1"/>
        </w:rPr>
        <w:t>°C</w:t>
      </w:r>
      <w:r>
        <w:rPr>
          <w:color w:val="000000" w:themeColor="text1"/>
        </w:rPr>
        <w:t xml:space="preserve"> before proceeding with the next steps of QC, RE digestion, and library prep for sequencing.</w:t>
      </w:r>
    </w:p>
    <w:p w14:paraId="74488F65" w14:textId="77777777" w:rsidR="00F87325" w:rsidRDefault="00F87325" w:rsidP="00F87325">
      <w:pPr>
        <w:pStyle w:val="ListParagraph"/>
        <w:ind w:left="612"/>
      </w:pPr>
    </w:p>
    <w:p w14:paraId="1EB20A82" w14:textId="77777777" w:rsidR="00F87325" w:rsidRDefault="00F87325" w:rsidP="00F87325">
      <w:pPr>
        <w:pStyle w:val="ListParagraph"/>
        <w:numPr>
          <w:ilvl w:val="0"/>
          <w:numId w:val="2"/>
        </w:numPr>
        <w:rPr>
          <w:b/>
          <w:bCs/>
        </w:rPr>
      </w:pPr>
      <w:r w:rsidRPr="006640EA">
        <w:rPr>
          <w:b/>
          <w:bCs/>
        </w:rPr>
        <w:t>Quality Control of purified and amplified gDNA</w:t>
      </w:r>
    </w:p>
    <w:p w14:paraId="2F49D799" w14:textId="2091E8BA" w:rsidR="00F87325" w:rsidRPr="009B2738" w:rsidRDefault="00F87325" w:rsidP="00F87325">
      <w:pPr>
        <w:pStyle w:val="ListParagraph"/>
        <w:numPr>
          <w:ilvl w:val="1"/>
          <w:numId w:val="2"/>
        </w:numPr>
        <w:rPr>
          <w:rFonts w:cstheme="minorHAnsi"/>
          <w:color w:val="000000" w:themeColor="text1"/>
        </w:rPr>
      </w:pPr>
      <w:r w:rsidRPr="00A8483B">
        <w:rPr>
          <w:rFonts w:cstheme="minorHAnsi"/>
        </w:rPr>
        <w:t>Quantification</w:t>
      </w:r>
      <w:r w:rsidRPr="009B2738">
        <w:rPr>
          <w:rFonts w:cstheme="minorHAnsi"/>
        </w:rPr>
        <w:t xml:space="preserve"> of each well containing the amplified gDNA was performed using a </w:t>
      </w:r>
      <w:r w:rsidRPr="009B2738">
        <w:rPr>
          <w:rFonts w:cstheme="minorHAnsi"/>
          <w:color w:val="000000"/>
        </w:rPr>
        <w:t>Qubit 4 Fluorometer</w:t>
      </w:r>
      <w:r>
        <w:rPr>
          <w:rFonts w:cstheme="minorHAnsi"/>
          <w:color w:val="000000"/>
        </w:rPr>
        <w:t>.</w:t>
      </w:r>
    </w:p>
    <w:p w14:paraId="3EE0CF2A" w14:textId="24AF6E35" w:rsidR="00F87325" w:rsidRDefault="00F87325" w:rsidP="00F87325">
      <w:pPr>
        <w:pStyle w:val="ListParagraph"/>
        <w:ind w:left="612"/>
      </w:pPr>
      <w:r>
        <w:t>The subsequent steps of RE digestion require 0.1 ug of gDNA/cell and library preparation requires 0.32 ng of gDNA/cell for processing. The number of cycles needs to be optimized based on the cell type to have enough amplified gDNA per cell, without the problem of PCR duplicates due to overamplification. We found a range of 24-27 cycles to be optimum for HepG2 cells</w:t>
      </w:r>
      <w:r w:rsidR="00A753D2">
        <w:t xml:space="preserve"> and 24 cycles for zygotes, 2cell and 4cell embryo cells</w:t>
      </w:r>
      <w:r>
        <w:t>. With 24 cycles, we got between 350-450 ng of amplified gDNA from HepG2 single cells.</w:t>
      </w:r>
    </w:p>
    <w:p w14:paraId="51785C24" w14:textId="77777777" w:rsidR="00F87325" w:rsidRPr="009B2738" w:rsidRDefault="00F87325" w:rsidP="00F87325">
      <w:pPr>
        <w:pStyle w:val="ListParagraph"/>
        <w:ind w:left="612"/>
        <w:rPr>
          <w:rFonts w:cstheme="minorHAnsi"/>
          <w:color w:val="000000" w:themeColor="text1"/>
        </w:rPr>
      </w:pPr>
    </w:p>
    <w:p w14:paraId="1173C1C6" w14:textId="77777777" w:rsidR="00F87325" w:rsidRDefault="00F87325" w:rsidP="00F87325">
      <w:pPr>
        <w:pStyle w:val="ListParagraph"/>
        <w:numPr>
          <w:ilvl w:val="1"/>
          <w:numId w:val="2"/>
        </w:numPr>
        <w:rPr>
          <w:rFonts w:cstheme="minorHAnsi"/>
          <w:color w:val="000000" w:themeColor="text1"/>
        </w:rPr>
      </w:pPr>
      <w:r>
        <w:rPr>
          <w:rFonts w:cstheme="minorHAnsi"/>
          <w:color w:val="000000" w:themeColor="text1"/>
        </w:rPr>
        <w:t>gDNA fragments detected using Agilent 2100 Bioanalyzer.</w:t>
      </w:r>
    </w:p>
    <w:p w14:paraId="20DD839A" w14:textId="77777777" w:rsidR="00F87325" w:rsidRDefault="00F87325" w:rsidP="00F87325">
      <w:pPr>
        <w:pStyle w:val="ListParagraph"/>
        <w:ind w:left="612"/>
        <w:rPr>
          <w:rFonts w:cstheme="minorHAnsi"/>
          <w:color w:val="000000" w:themeColor="text1"/>
        </w:rPr>
      </w:pPr>
      <w:r>
        <w:rPr>
          <w:rFonts w:cstheme="minorHAnsi"/>
          <w:color w:val="000000" w:themeColor="text1"/>
        </w:rPr>
        <w:t>In addition to quantification, it is necessary to make sure that the amplified gDNA fragments are in the bp range that we expect them to be in. This ensures that we have enough gDNA reads and not just amplification of the primers. The single cell amplified gDNA were detected using the high sensitivity screen tapes. The range of fragments should be between ~100-500 bp with a peak between 250-290 bp.</w:t>
      </w:r>
    </w:p>
    <w:p w14:paraId="6D0E6709" w14:textId="77777777" w:rsidR="00F87325" w:rsidRDefault="00F87325" w:rsidP="00F87325">
      <w:pPr>
        <w:pStyle w:val="ListParagraph"/>
        <w:ind w:left="612"/>
        <w:rPr>
          <w:rFonts w:cstheme="minorHAnsi"/>
          <w:color w:val="000000" w:themeColor="text1"/>
        </w:rPr>
      </w:pPr>
    </w:p>
    <w:p w14:paraId="5C93B808" w14:textId="77777777" w:rsidR="00F87325" w:rsidRPr="00A8483B" w:rsidRDefault="00F87325" w:rsidP="00F87325">
      <w:pPr>
        <w:pStyle w:val="ListParagraph"/>
        <w:ind w:left="612"/>
        <w:rPr>
          <w:rFonts w:cstheme="minorHAnsi"/>
          <w:color w:val="000000" w:themeColor="text1"/>
        </w:rPr>
      </w:pPr>
      <w:r w:rsidRPr="008D141E">
        <w:rPr>
          <w:rFonts w:cstheme="minorHAnsi"/>
          <w:color w:val="000000" w:themeColor="text1"/>
        </w:rPr>
        <w:t>Example peak of gDNA from a single HepG2 nucleus.</w:t>
      </w:r>
      <w:r>
        <w:rPr>
          <w:rFonts w:cstheme="minorHAnsi"/>
          <w:color w:val="000000" w:themeColor="text1"/>
        </w:rPr>
        <w:t xml:space="preserve"> </w:t>
      </w:r>
    </w:p>
    <w:tbl>
      <w:tblPr>
        <w:tblStyle w:val="TableGrid"/>
        <w:tblW w:w="0" w:type="auto"/>
        <w:tblInd w:w="612" w:type="dxa"/>
        <w:tblLook w:val="04A0" w:firstRow="1" w:lastRow="0" w:firstColumn="1" w:lastColumn="0" w:noHBand="0" w:noVBand="1"/>
      </w:tblPr>
      <w:tblGrid>
        <w:gridCol w:w="5820"/>
      </w:tblGrid>
      <w:tr w:rsidR="00F87325" w14:paraId="0F885AE7" w14:textId="77777777" w:rsidTr="001E4848">
        <w:trPr>
          <w:trHeight w:val="2661"/>
        </w:trPr>
        <w:tc>
          <w:tcPr>
            <w:tcW w:w="5820" w:type="dxa"/>
          </w:tcPr>
          <w:p w14:paraId="2A07FD2C" w14:textId="77777777" w:rsidR="00F87325" w:rsidRDefault="00F87325" w:rsidP="001E4848">
            <w:pPr>
              <w:pStyle w:val="ListParagraph"/>
              <w:ind w:left="0"/>
              <w:rPr>
                <w:rFonts w:cstheme="minorHAnsi"/>
                <w:color w:val="000000" w:themeColor="text1"/>
              </w:rPr>
            </w:pPr>
            <w:r w:rsidRPr="007A17A8">
              <w:rPr>
                <w:rFonts w:cstheme="minorHAnsi"/>
                <w:noProof/>
                <w:color w:val="000000" w:themeColor="text1"/>
              </w:rPr>
              <w:drawing>
                <wp:inline distT="0" distB="0" distL="0" distR="0" wp14:anchorId="2EC0108B" wp14:editId="19476935">
                  <wp:extent cx="3408218" cy="1649126"/>
                  <wp:effectExtent l="0" t="0" r="0" b="1905"/>
                  <wp:docPr id="1407926703" name="Picture 1" descr="A graph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26703" name="Picture 1" descr="A graph of a normal distribution&#10;&#10;Description automatically generated"/>
                          <pic:cNvPicPr/>
                        </pic:nvPicPr>
                        <pic:blipFill>
                          <a:blip r:embed="rId6"/>
                          <a:stretch>
                            <a:fillRect/>
                          </a:stretch>
                        </pic:blipFill>
                        <pic:spPr>
                          <a:xfrm>
                            <a:off x="0" y="0"/>
                            <a:ext cx="3632359" cy="1757581"/>
                          </a:xfrm>
                          <a:prstGeom prst="rect">
                            <a:avLst/>
                          </a:prstGeom>
                        </pic:spPr>
                      </pic:pic>
                    </a:graphicData>
                  </a:graphic>
                </wp:inline>
              </w:drawing>
            </w:r>
          </w:p>
        </w:tc>
      </w:tr>
    </w:tbl>
    <w:p w14:paraId="7D140231" w14:textId="77777777" w:rsidR="00F87325" w:rsidRPr="001A2BB6" w:rsidRDefault="00F87325" w:rsidP="00F87325">
      <w:pPr>
        <w:rPr>
          <w:b/>
          <w:bCs/>
        </w:rPr>
      </w:pPr>
    </w:p>
    <w:p w14:paraId="03A50D70" w14:textId="43318777" w:rsidR="00F87325" w:rsidRDefault="00F87325" w:rsidP="00F87325">
      <w:pPr>
        <w:pStyle w:val="ListParagraph"/>
        <w:numPr>
          <w:ilvl w:val="0"/>
          <w:numId w:val="2"/>
        </w:numPr>
        <w:rPr>
          <w:b/>
          <w:bCs/>
        </w:rPr>
      </w:pPr>
      <w:r>
        <w:rPr>
          <w:b/>
          <w:bCs/>
        </w:rPr>
        <w:t>Restriction Enzyme Digestion</w:t>
      </w:r>
      <w:r w:rsidR="00CE351B">
        <w:rPr>
          <w:b/>
          <w:bCs/>
        </w:rPr>
        <w:t xml:space="preserve"> of amplified gDNA</w:t>
      </w:r>
    </w:p>
    <w:p w14:paraId="6E0129EC" w14:textId="77777777" w:rsidR="00F87325" w:rsidRPr="006700E1" w:rsidRDefault="00F87325" w:rsidP="00F87325">
      <w:pPr>
        <w:pStyle w:val="ListParagraph"/>
        <w:numPr>
          <w:ilvl w:val="1"/>
          <w:numId w:val="2"/>
        </w:numPr>
      </w:pPr>
      <w:r>
        <w:t xml:space="preserve">Centrifuge the purified amplified gDNA plate at 1000g, </w:t>
      </w:r>
      <w:r w:rsidRPr="003176F5">
        <w:rPr>
          <w:color w:val="000000" w:themeColor="text1"/>
        </w:rPr>
        <w:t xml:space="preserve">4 °C, </w:t>
      </w:r>
      <w:r>
        <w:rPr>
          <w:color w:val="000000" w:themeColor="text1"/>
        </w:rPr>
        <w:t>1 minute.</w:t>
      </w:r>
    </w:p>
    <w:p w14:paraId="3DB23154" w14:textId="77777777" w:rsidR="00F87325" w:rsidRDefault="00F87325" w:rsidP="00F87325">
      <w:pPr>
        <w:pStyle w:val="ListParagraph"/>
        <w:numPr>
          <w:ilvl w:val="1"/>
          <w:numId w:val="2"/>
        </w:numPr>
      </w:pPr>
      <w:r>
        <w:t>In a new 96-well plate labelled ‘RE digestion gDNA’, p</w:t>
      </w:r>
      <w:r w:rsidRPr="00DF39F9">
        <w:t xml:space="preserve">repare 10uL </w:t>
      </w:r>
      <w:r>
        <w:t xml:space="preserve">RE </w:t>
      </w:r>
      <w:r w:rsidRPr="00DF39F9">
        <w:t>reaction</w:t>
      </w:r>
      <w:r>
        <w:t xml:space="preserve"> mix/well </w:t>
      </w:r>
      <w:r w:rsidRPr="00DF39F9">
        <w:t>with 1 unit of restriction enzyme AcuI + 0.1 ug gDNA + NEB buffer (to make up solution to 10uL).</w:t>
      </w:r>
      <w:r>
        <w:t xml:space="preserve"> 10uL mixes provide enough gDNA for downstream library preparation.</w:t>
      </w:r>
    </w:p>
    <w:p w14:paraId="781B413F" w14:textId="77777777" w:rsidR="00F87325" w:rsidRDefault="00F87325" w:rsidP="00F87325">
      <w:pPr>
        <w:pStyle w:val="ListParagraph"/>
        <w:numPr>
          <w:ilvl w:val="1"/>
          <w:numId w:val="2"/>
        </w:numPr>
      </w:pPr>
      <w:r>
        <w:t xml:space="preserve">Mix the RE mix/well by pipetting up and down multiple times. Centrifuge the plate at 1000g, </w:t>
      </w:r>
      <w:r w:rsidRPr="003176F5">
        <w:rPr>
          <w:color w:val="000000" w:themeColor="text1"/>
        </w:rPr>
        <w:t xml:space="preserve">4 °C, </w:t>
      </w:r>
      <w:r>
        <w:rPr>
          <w:color w:val="000000" w:themeColor="text1"/>
        </w:rPr>
        <w:t>1 minute.</w:t>
      </w:r>
    </w:p>
    <w:p w14:paraId="48A31701" w14:textId="77777777" w:rsidR="00F87325" w:rsidRPr="00FC5128" w:rsidRDefault="00F87325" w:rsidP="00F87325">
      <w:pPr>
        <w:pStyle w:val="ListParagraph"/>
        <w:numPr>
          <w:ilvl w:val="1"/>
          <w:numId w:val="2"/>
        </w:numPr>
      </w:pPr>
      <w:r>
        <w:t xml:space="preserve">Incubate the ‘RE digestion gDNA’ plate in the thermocycler with the RE digestion settings- </w:t>
      </w:r>
      <w:r w:rsidRPr="00C73F69">
        <w:rPr>
          <w:rFonts w:cstheme="minorHAnsi"/>
        </w:rPr>
        <w:t>37</w:t>
      </w:r>
      <w:r w:rsidRPr="00EE441F">
        <w:rPr>
          <w:color w:val="000000" w:themeColor="text1"/>
        </w:rPr>
        <w:t>°</w:t>
      </w:r>
      <w:r>
        <w:rPr>
          <w:color w:val="000000" w:themeColor="text1"/>
        </w:rPr>
        <w:t>C</w:t>
      </w:r>
      <w:r w:rsidRPr="00C73F69">
        <w:rPr>
          <w:rFonts w:cstheme="minorHAnsi"/>
        </w:rPr>
        <w:t xml:space="preserve"> for 15 mins</w:t>
      </w:r>
      <w:r>
        <w:rPr>
          <w:rFonts w:cstheme="minorHAnsi"/>
        </w:rPr>
        <w:t xml:space="preserve"> </w:t>
      </w:r>
      <w:r w:rsidRPr="00C73F69">
        <w:rPr>
          <w:rFonts w:cstheme="minorHAnsi"/>
        </w:rPr>
        <w:t>and 65</w:t>
      </w:r>
      <w:r w:rsidRPr="00EE441F">
        <w:rPr>
          <w:color w:val="000000" w:themeColor="text1"/>
        </w:rPr>
        <w:t>°</w:t>
      </w:r>
      <w:r>
        <w:rPr>
          <w:color w:val="000000" w:themeColor="text1"/>
        </w:rPr>
        <w:t>C</w:t>
      </w:r>
      <w:r w:rsidRPr="00C73F69">
        <w:rPr>
          <w:rFonts w:cstheme="minorHAnsi"/>
        </w:rPr>
        <w:t xml:space="preserve"> for 20 mins (heat inactivation of the enzyme).</w:t>
      </w:r>
      <w:r>
        <w:rPr>
          <w:rFonts w:cstheme="minorHAnsi"/>
        </w:rPr>
        <w:t xml:space="preserve"> </w:t>
      </w:r>
    </w:p>
    <w:p w14:paraId="33B66AA3" w14:textId="77777777" w:rsidR="00F87325" w:rsidRDefault="00F87325" w:rsidP="00F87325">
      <w:pPr>
        <w:pStyle w:val="ListParagraph"/>
        <w:numPr>
          <w:ilvl w:val="1"/>
          <w:numId w:val="2"/>
        </w:numPr>
      </w:pPr>
      <w:r>
        <w:t xml:space="preserve">Centrifuge the plate at 1000g, </w:t>
      </w:r>
      <w:r w:rsidRPr="003176F5">
        <w:rPr>
          <w:color w:val="000000" w:themeColor="text1"/>
        </w:rPr>
        <w:t xml:space="preserve">4 °C, </w:t>
      </w:r>
      <w:r>
        <w:rPr>
          <w:color w:val="000000" w:themeColor="text1"/>
        </w:rPr>
        <w:t>1 minute.</w:t>
      </w:r>
    </w:p>
    <w:p w14:paraId="7825D0EB" w14:textId="77777777" w:rsidR="00F87325" w:rsidRDefault="00F87325" w:rsidP="00F87325">
      <w:pPr>
        <w:pStyle w:val="ListParagraph"/>
        <w:numPr>
          <w:ilvl w:val="1"/>
          <w:numId w:val="2"/>
        </w:numPr>
      </w:pPr>
      <w:r>
        <w:lastRenderedPageBreak/>
        <w:t xml:space="preserve">At this point, you can confirm RE digestion of the gDNA by randomly picking a few wells and looking at the peaks on the Agilent Bioanalyzer. </w:t>
      </w:r>
    </w:p>
    <w:p w14:paraId="5DCCC22D" w14:textId="77777777" w:rsidR="00F87325" w:rsidRDefault="00F87325" w:rsidP="00F87325">
      <w:pPr>
        <w:pStyle w:val="ListParagraph"/>
        <w:ind w:left="612"/>
      </w:pPr>
    </w:p>
    <w:p w14:paraId="13422D77" w14:textId="77777777" w:rsidR="00F87325" w:rsidRDefault="00F87325" w:rsidP="00F87325">
      <w:pPr>
        <w:pStyle w:val="ListParagraph"/>
        <w:ind w:left="612"/>
      </w:pPr>
      <w:r>
        <w:t>Example of DNA peaks before (E1) and after (D1) RE digestion. After RE digestion, the primer peak can be observed at ~45 bp and a reduction in the overall peak of the gDNA fragments from ~240 bp to ~200 bp can be observed.</w:t>
      </w:r>
    </w:p>
    <w:p w14:paraId="6CD6DE08" w14:textId="77777777" w:rsidR="00F87325" w:rsidRDefault="00F87325" w:rsidP="00F87325">
      <w:pPr>
        <w:pStyle w:val="ListParagraph"/>
        <w:ind w:left="612"/>
      </w:pPr>
    </w:p>
    <w:tbl>
      <w:tblPr>
        <w:tblStyle w:val="TableGrid"/>
        <w:tblW w:w="0" w:type="auto"/>
        <w:tblInd w:w="612" w:type="dxa"/>
        <w:tblLook w:val="04A0" w:firstRow="1" w:lastRow="0" w:firstColumn="1" w:lastColumn="0" w:noHBand="0" w:noVBand="1"/>
      </w:tblPr>
      <w:tblGrid>
        <w:gridCol w:w="4383"/>
        <w:gridCol w:w="4355"/>
      </w:tblGrid>
      <w:tr w:rsidR="00F87325" w14:paraId="394B9212" w14:textId="77777777" w:rsidTr="001E4848">
        <w:trPr>
          <w:trHeight w:val="2096"/>
        </w:trPr>
        <w:tc>
          <w:tcPr>
            <w:tcW w:w="4675" w:type="dxa"/>
          </w:tcPr>
          <w:p w14:paraId="0A10D4C4" w14:textId="77777777" w:rsidR="00F87325" w:rsidRDefault="00F87325" w:rsidP="001E4848">
            <w:pPr>
              <w:pStyle w:val="ListParagraph"/>
              <w:ind w:left="0"/>
            </w:pPr>
            <w:r w:rsidRPr="00FC5128">
              <w:rPr>
                <w:noProof/>
              </w:rPr>
              <w:drawing>
                <wp:inline distT="0" distB="0" distL="0" distR="0" wp14:anchorId="639BDF62" wp14:editId="6DD5973A">
                  <wp:extent cx="2673125" cy="1264023"/>
                  <wp:effectExtent l="0" t="0" r="0" b="6350"/>
                  <wp:docPr id="206986405" name="Picture 1" descr="A graph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6405" name="Picture 1" descr="A graph of a normal distribution&#10;&#10;Description automatically generated"/>
                          <pic:cNvPicPr/>
                        </pic:nvPicPr>
                        <pic:blipFill>
                          <a:blip r:embed="rId7"/>
                          <a:stretch>
                            <a:fillRect/>
                          </a:stretch>
                        </pic:blipFill>
                        <pic:spPr>
                          <a:xfrm>
                            <a:off x="0" y="0"/>
                            <a:ext cx="2673125" cy="1264023"/>
                          </a:xfrm>
                          <a:prstGeom prst="rect">
                            <a:avLst/>
                          </a:prstGeom>
                        </pic:spPr>
                      </pic:pic>
                    </a:graphicData>
                  </a:graphic>
                </wp:inline>
              </w:drawing>
            </w:r>
          </w:p>
        </w:tc>
        <w:tc>
          <w:tcPr>
            <w:tcW w:w="4675" w:type="dxa"/>
          </w:tcPr>
          <w:p w14:paraId="42BF206B" w14:textId="77777777" w:rsidR="00F87325" w:rsidRDefault="00F87325" w:rsidP="001E4848">
            <w:pPr>
              <w:pStyle w:val="ListParagraph"/>
              <w:ind w:left="0"/>
            </w:pPr>
            <w:r w:rsidRPr="00FC5128">
              <w:rPr>
                <w:noProof/>
              </w:rPr>
              <w:drawing>
                <wp:inline distT="0" distB="0" distL="0" distR="0" wp14:anchorId="36178A1A" wp14:editId="4019CEDA">
                  <wp:extent cx="2650775" cy="1263650"/>
                  <wp:effectExtent l="0" t="0" r="3810" b="0"/>
                  <wp:docPr id="1036919611" name="Picture 1" descr="A graph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19611" name="Picture 1" descr="A graph of a normal distribution&#10;&#10;Description automatically generated"/>
                          <pic:cNvPicPr/>
                        </pic:nvPicPr>
                        <pic:blipFill>
                          <a:blip r:embed="rId8"/>
                          <a:stretch>
                            <a:fillRect/>
                          </a:stretch>
                        </pic:blipFill>
                        <pic:spPr>
                          <a:xfrm>
                            <a:off x="0" y="0"/>
                            <a:ext cx="2733377" cy="1303027"/>
                          </a:xfrm>
                          <a:prstGeom prst="rect">
                            <a:avLst/>
                          </a:prstGeom>
                        </pic:spPr>
                      </pic:pic>
                    </a:graphicData>
                  </a:graphic>
                </wp:inline>
              </w:drawing>
            </w:r>
          </w:p>
        </w:tc>
      </w:tr>
    </w:tbl>
    <w:p w14:paraId="232F9748" w14:textId="77777777" w:rsidR="00F87325" w:rsidRPr="00F035E6" w:rsidRDefault="00F87325" w:rsidP="00CE351B"/>
    <w:p w14:paraId="73CB575B" w14:textId="77777777" w:rsidR="00F87325" w:rsidRPr="0014755A" w:rsidRDefault="00F87325" w:rsidP="00F87325">
      <w:pPr>
        <w:rPr>
          <w:rFonts w:cstheme="minorHAnsi"/>
          <w:color w:val="70AD47" w:themeColor="accent6"/>
          <w:shd w:val="clear" w:color="auto" w:fill="FFFFFF"/>
        </w:rPr>
      </w:pPr>
    </w:p>
    <w:p w14:paraId="5AE332B8" w14:textId="77777777" w:rsidR="00F87325" w:rsidRPr="009D5986" w:rsidRDefault="00F87325" w:rsidP="00F87325">
      <w:pPr>
        <w:pStyle w:val="ListParagraph"/>
        <w:numPr>
          <w:ilvl w:val="0"/>
          <w:numId w:val="2"/>
        </w:numPr>
        <w:rPr>
          <w:rFonts w:cstheme="minorHAnsi"/>
          <w:b/>
          <w:bCs/>
          <w:color w:val="000000" w:themeColor="text1"/>
          <w:shd w:val="clear" w:color="auto" w:fill="FFFFFF"/>
        </w:rPr>
      </w:pPr>
      <w:r w:rsidRPr="00960A8A">
        <w:rPr>
          <w:rFonts w:cstheme="minorHAnsi"/>
          <w:b/>
          <w:bCs/>
          <w:color w:val="000000" w:themeColor="text1"/>
          <w:shd w:val="clear" w:color="auto" w:fill="FFFFFF"/>
        </w:rPr>
        <w:t xml:space="preserve">Tagmentation based library preparation using Nextera </w:t>
      </w:r>
      <w:r w:rsidRPr="00960A8A">
        <w:rPr>
          <w:b/>
          <w:bCs/>
          <w:color w:val="000000" w:themeColor="text1"/>
        </w:rPr>
        <w:t xml:space="preserve">XT </w:t>
      </w:r>
      <w:r>
        <w:rPr>
          <w:b/>
          <w:bCs/>
          <w:color w:val="000000" w:themeColor="text1"/>
        </w:rPr>
        <w:t xml:space="preserve">DNA preparation </w:t>
      </w:r>
      <w:r w:rsidRPr="00960A8A">
        <w:rPr>
          <w:b/>
          <w:bCs/>
          <w:color w:val="000000" w:themeColor="text1"/>
        </w:rPr>
        <w:t>kit</w:t>
      </w:r>
    </w:p>
    <w:p w14:paraId="591DB600" w14:textId="48CC72F5" w:rsidR="00F87325" w:rsidRDefault="00F87325" w:rsidP="00F87325">
      <w:pPr>
        <w:pStyle w:val="ListParagraph"/>
        <w:ind w:left="612"/>
        <w:rPr>
          <w:rFonts w:cstheme="minorHAnsi"/>
          <w:color w:val="000000" w:themeColor="text1"/>
          <w:shd w:val="clear" w:color="auto" w:fill="FFFFFF"/>
        </w:rPr>
      </w:pPr>
      <w:r>
        <w:rPr>
          <w:rFonts w:cstheme="minorHAnsi"/>
          <w:color w:val="000000" w:themeColor="text1"/>
          <w:shd w:val="clear" w:color="auto" w:fill="FFFFFF"/>
        </w:rPr>
        <w:t xml:space="preserve">The protocol as described in the </w:t>
      </w:r>
      <w:hyperlink r:id="rId9" w:history="1">
        <w:r w:rsidRPr="00296CC7">
          <w:rPr>
            <w:rStyle w:val="Hyperlink"/>
            <w:rFonts w:cstheme="minorHAnsi"/>
            <w:shd w:val="clear" w:color="auto" w:fill="FFFFFF"/>
          </w:rPr>
          <w:t>Nextera XT DNA preparation sample guide</w:t>
        </w:r>
      </w:hyperlink>
      <w:r>
        <w:rPr>
          <w:rFonts w:cstheme="minorHAnsi"/>
          <w:color w:val="000000" w:themeColor="text1"/>
          <w:shd w:val="clear" w:color="auto" w:fill="FFFFFF"/>
        </w:rPr>
        <w:t xml:space="preserve"> was used for library preparation of the single cell gDNA. </w:t>
      </w:r>
      <w:r w:rsidR="00296CC7">
        <w:rPr>
          <w:rFonts w:cstheme="minorHAnsi"/>
          <w:color w:val="000000" w:themeColor="text1"/>
          <w:shd w:val="clear" w:color="auto" w:fill="FFFFFF"/>
        </w:rPr>
        <w:t>Detailed steps are also in the cDNA processing protocol</w:t>
      </w:r>
      <w:r w:rsidR="004D4ACB">
        <w:rPr>
          <w:rFonts w:cstheme="minorHAnsi"/>
          <w:color w:val="000000" w:themeColor="text1"/>
          <w:shd w:val="clear" w:color="auto" w:fill="FFFFFF"/>
        </w:rPr>
        <w:t xml:space="preserve"> section 7</w:t>
      </w:r>
      <w:r w:rsidR="00296CC7">
        <w:rPr>
          <w:rFonts w:cstheme="minorHAnsi"/>
          <w:color w:val="000000" w:themeColor="text1"/>
          <w:shd w:val="clear" w:color="auto" w:fill="FFFFFF"/>
        </w:rPr>
        <w:t xml:space="preserve">. </w:t>
      </w:r>
      <w:r>
        <w:rPr>
          <w:rFonts w:cstheme="minorHAnsi"/>
          <w:color w:val="000000" w:themeColor="text1"/>
          <w:shd w:val="clear" w:color="auto" w:fill="FFFFFF"/>
        </w:rPr>
        <w:t xml:space="preserve">After introduction of unique primer combinations (N7xx and N5xx) per well using the Nextera 96-Index Kit and amplification of the tagmented gDNA, all the samples can be pooled together before purification. </w:t>
      </w:r>
    </w:p>
    <w:p w14:paraId="63DC1330" w14:textId="332EF540" w:rsidR="00F87325" w:rsidRDefault="00F87325" w:rsidP="00F87325">
      <w:pPr>
        <w:pStyle w:val="ListParagraph"/>
        <w:ind w:left="612"/>
        <w:rPr>
          <w:rFonts w:cstheme="minorHAnsi"/>
          <w:color w:val="000000" w:themeColor="text1"/>
          <w:shd w:val="clear" w:color="auto" w:fill="FFFFFF"/>
        </w:rPr>
      </w:pPr>
      <w:r w:rsidRPr="000D5DFB">
        <w:rPr>
          <w:rFonts w:cstheme="minorHAnsi"/>
          <w:b/>
          <w:bCs/>
          <w:color w:val="000000" w:themeColor="text1"/>
          <w:shd w:val="clear" w:color="auto" w:fill="FFFFFF"/>
        </w:rPr>
        <w:t>Note</w:t>
      </w:r>
      <w:r>
        <w:rPr>
          <w:rFonts w:cstheme="minorHAnsi"/>
          <w:color w:val="000000" w:themeColor="text1"/>
          <w:shd w:val="clear" w:color="auto" w:fill="FFFFFF"/>
        </w:rPr>
        <w:t xml:space="preserve">- If performing library prep as part of the sc-multiomics protocol, gDNA and cDNA samples can </w:t>
      </w:r>
      <w:r w:rsidR="008C0FE1">
        <w:rPr>
          <w:rFonts w:cstheme="minorHAnsi"/>
          <w:color w:val="000000" w:themeColor="text1"/>
          <w:shd w:val="clear" w:color="auto" w:fill="FFFFFF"/>
        </w:rPr>
        <w:t>be</w:t>
      </w:r>
      <w:r>
        <w:rPr>
          <w:rFonts w:cstheme="minorHAnsi"/>
          <w:color w:val="000000" w:themeColor="text1"/>
          <w:shd w:val="clear" w:color="auto" w:fill="FFFFFF"/>
        </w:rPr>
        <w:t xml:space="preserve"> processed </w:t>
      </w:r>
      <w:r w:rsidR="0088031F">
        <w:rPr>
          <w:rFonts w:cstheme="minorHAnsi"/>
          <w:color w:val="000000" w:themeColor="text1"/>
          <w:shd w:val="clear" w:color="auto" w:fill="FFFFFF"/>
        </w:rPr>
        <w:t>simultaneously and pooled after amplification with unique indexes.</w:t>
      </w:r>
    </w:p>
    <w:p w14:paraId="0CD8F594" w14:textId="77777777" w:rsidR="00F87325" w:rsidRDefault="00F87325" w:rsidP="00F87325">
      <w:pPr>
        <w:pStyle w:val="ListParagraph"/>
        <w:ind w:left="612"/>
        <w:rPr>
          <w:rFonts w:cstheme="minorHAnsi"/>
          <w:color w:val="000000" w:themeColor="text1"/>
          <w:shd w:val="clear" w:color="auto" w:fill="FFFFFF"/>
        </w:rPr>
      </w:pPr>
    </w:p>
    <w:p w14:paraId="7A51D9C5" w14:textId="77777777" w:rsidR="00F87325" w:rsidRDefault="00F87325" w:rsidP="00F87325">
      <w:pPr>
        <w:pStyle w:val="ListParagraph"/>
        <w:numPr>
          <w:ilvl w:val="0"/>
          <w:numId w:val="2"/>
        </w:numPr>
        <w:rPr>
          <w:rFonts w:cstheme="minorHAnsi"/>
          <w:b/>
          <w:bCs/>
          <w:color w:val="000000" w:themeColor="text1"/>
          <w:shd w:val="clear" w:color="auto" w:fill="FFFFFF"/>
        </w:rPr>
      </w:pPr>
      <w:r w:rsidRPr="009D5986">
        <w:rPr>
          <w:rFonts w:cstheme="minorHAnsi"/>
          <w:b/>
          <w:bCs/>
          <w:color w:val="000000" w:themeColor="text1"/>
          <w:shd w:val="clear" w:color="auto" w:fill="FFFFFF"/>
        </w:rPr>
        <w:t xml:space="preserve">Pooling of library prepped gDNA and purification </w:t>
      </w:r>
    </w:p>
    <w:p w14:paraId="311C64CF" w14:textId="77777777" w:rsidR="00F87325" w:rsidRDefault="00F87325" w:rsidP="00F87325">
      <w:pPr>
        <w:pStyle w:val="ListParagraph"/>
        <w:numPr>
          <w:ilvl w:val="1"/>
          <w:numId w:val="2"/>
        </w:numPr>
        <w:rPr>
          <w:rFonts w:cstheme="minorHAnsi"/>
          <w:color w:val="000000" w:themeColor="text1"/>
          <w:shd w:val="clear" w:color="auto" w:fill="FFFFFF"/>
        </w:rPr>
      </w:pPr>
      <w:r w:rsidRPr="009D5986">
        <w:rPr>
          <w:rFonts w:cstheme="minorHAnsi"/>
          <w:color w:val="000000" w:themeColor="text1"/>
          <w:shd w:val="clear" w:color="auto" w:fill="FFFFFF"/>
        </w:rPr>
        <w:t>Combine 5uL of gDNA from each well</w:t>
      </w:r>
      <w:r>
        <w:rPr>
          <w:rFonts w:cstheme="minorHAnsi"/>
          <w:color w:val="000000" w:themeColor="text1"/>
          <w:shd w:val="clear" w:color="auto" w:fill="FFFFFF"/>
        </w:rPr>
        <w:t xml:space="preserve"> into a microcentrifuge tube. Quantification of gDNA in each well before pooling of all samples can prevent skewing of samples during sequencing. However, if working with 48-96 samples at a time, quantification was not done.</w:t>
      </w:r>
    </w:p>
    <w:p w14:paraId="295437FC" w14:textId="77777777" w:rsidR="00F87325" w:rsidRDefault="00F87325" w:rsidP="00F87325">
      <w:pPr>
        <w:pStyle w:val="ListParagraph"/>
        <w:numPr>
          <w:ilvl w:val="1"/>
          <w:numId w:val="2"/>
        </w:numPr>
        <w:rPr>
          <w:rFonts w:cstheme="minorHAnsi"/>
          <w:color w:val="000000" w:themeColor="text1"/>
          <w:shd w:val="clear" w:color="auto" w:fill="FFFFFF"/>
        </w:rPr>
      </w:pPr>
      <w:r>
        <w:rPr>
          <w:rFonts w:cstheme="minorHAnsi"/>
          <w:color w:val="000000" w:themeColor="text1"/>
          <w:shd w:val="clear" w:color="auto" w:fill="FFFFFF"/>
        </w:rPr>
        <w:t>AmPure XP beads were warmed to room temperature and purification was performed as detailed in steps – to --- by adjusting the ratio of solution to beads to 1:0.6. (For eg. if pooling 48 wells together, the pooled sample is 240 uL and 144 uL of Ampure XP beads are used for clean-up).</w:t>
      </w:r>
    </w:p>
    <w:p w14:paraId="1EF48FC6" w14:textId="77777777" w:rsidR="00F87325" w:rsidRDefault="00F87325" w:rsidP="00F87325">
      <w:pPr>
        <w:pStyle w:val="ListParagraph"/>
        <w:numPr>
          <w:ilvl w:val="1"/>
          <w:numId w:val="2"/>
        </w:numPr>
        <w:rPr>
          <w:rFonts w:cstheme="minorHAnsi"/>
          <w:color w:val="000000" w:themeColor="text1"/>
          <w:shd w:val="clear" w:color="auto" w:fill="FFFFFF"/>
        </w:rPr>
      </w:pPr>
      <w:r>
        <w:rPr>
          <w:rFonts w:cstheme="minorHAnsi"/>
          <w:color w:val="000000" w:themeColor="text1"/>
          <w:shd w:val="clear" w:color="auto" w:fill="FFFFFF"/>
        </w:rPr>
        <w:t xml:space="preserve">The quality of the pooled sample is checked using high sensitivity chip on Bioanalyzer. After library preparation with the Nextera XT kit, a peak ~380 </w:t>
      </w:r>
      <w:r w:rsidRPr="008677C1">
        <w:rPr>
          <w:rFonts w:cstheme="minorHAnsi"/>
          <w:color w:val="000000" w:themeColor="text1"/>
          <w:shd w:val="clear" w:color="auto" w:fill="FFFFFF"/>
        </w:rPr>
        <w:t xml:space="preserve">bp was observed as shown below. </w:t>
      </w:r>
    </w:p>
    <w:p w14:paraId="273C4E83" w14:textId="77777777" w:rsidR="00F87325" w:rsidRPr="008677C1" w:rsidRDefault="00F87325" w:rsidP="00F87325">
      <w:pPr>
        <w:pStyle w:val="ListParagraph"/>
        <w:ind w:left="612"/>
        <w:rPr>
          <w:rFonts w:cstheme="minorHAnsi"/>
          <w:color w:val="000000" w:themeColor="text1"/>
          <w:shd w:val="clear" w:color="auto" w:fill="FFFFFF"/>
        </w:rPr>
      </w:pPr>
    </w:p>
    <w:p w14:paraId="4F9CB82D" w14:textId="77777777" w:rsidR="00F87325" w:rsidRDefault="00F87325" w:rsidP="00F87325">
      <w:pPr>
        <w:pStyle w:val="ListParagraph"/>
        <w:ind w:left="612"/>
        <w:rPr>
          <w:rFonts w:cstheme="minorHAnsi"/>
          <w:color w:val="000000" w:themeColor="text1"/>
          <w:shd w:val="clear" w:color="auto" w:fill="FFFFFF"/>
        </w:rPr>
      </w:pPr>
      <w:r w:rsidRPr="008677C1">
        <w:rPr>
          <w:rFonts w:cstheme="minorHAnsi"/>
          <w:noProof/>
          <w:color w:val="000000" w:themeColor="text1"/>
          <w:shd w:val="clear" w:color="auto" w:fill="FFFFFF"/>
        </w:rPr>
        <w:lastRenderedPageBreak/>
        <w:drawing>
          <wp:inline distT="0" distB="0" distL="0" distR="0" wp14:anchorId="39215F02" wp14:editId="50469316">
            <wp:extent cx="4930589" cy="2349405"/>
            <wp:effectExtent l="0" t="0" r="0" b="635"/>
            <wp:docPr id="661074087" name="Picture 1" descr="A graph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74087" name="Picture 1" descr="A graph of a normal distribution&#10;&#10;Description automatically generated"/>
                    <pic:cNvPicPr/>
                  </pic:nvPicPr>
                  <pic:blipFill>
                    <a:blip r:embed="rId10"/>
                    <a:stretch>
                      <a:fillRect/>
                    </a:stretch>
                  </pic:blipFill>
                  <pic:spPr>
                    <a:xfrm>
                      <a:off x="0" y="0"/>
                      <a:ext cx="4980080" cy="2372987"/>
                    </a:xfrm>
                    <a:prstGeom prst="rect">
                      <a:avLst/>
                    </a:prstGeom>
                  </pic:spPr>
                </pic:pic>
              </a:graphicData>
            </a:graphic>
          </wp:inline>
        </w:drawing>
      </w:r>
    </w:p>
    <w:p w14:paraId="4A528637" w14:textId="77777777" w:rsidR="00F87325" w:rsidRDefault="00F87325" w:rsidP="00F87325">
      <w:pPr>
        <w:pStyle w:val="ListParagraph"/>
        <w:ind w:left="612"/>
        <w:rPr>
          <w:rFonts w:cstheme="minorHAnsi"/>
          <w:color w:val="000000" w:themeColor="text1"/>
          <w:shd w:val="clear" w:color="auto" w:fill="FFFFFF"/>
        </w:rPr>
      </w:pPr>
    </w:p>
    <w:p w14:paraId="5AF3CD16" w14:textId="77777777" w:rsidR="00F87325" w:rsidRDefault="00F87325" w:rsidP="00F87325">
      <w:pPr>
        <w:pStyle w:val="ListParagraph"/>
        <w:numPr>
          <w:ilvl w:val="1"/>
          <w:numId w:val="2"/>
        </w:numPr>
        <w:rPr>
          <w:rFonts w:cstheme="minorHAnsi"/>
          <w:color w:val="000000" w:themeColor="text1"/>
          <w:shd w:val="clear" w:color="auto" w:fill="FFFFFF"/>
        </w:rPr>
      </w:pPr>
      <w:r>
        <w:rPr>
          <w:rFonts w:cstheme="minorHAnsi"/>
          <w:color w:val="000000" w:themeColor="text1"/>
          <w:shd w:val="clear" w:color="auto" w:fill="FFFFFF"/>
        </w:rPr>
        <w:t>The pooled sample was also quantified using a Qubit. For sequencing, the sample can be diluted if required.</w:t>
      </w:r>
    </w:p>
    <w:p w14:paraId="560FAE6A" w14:textId="77777777" w:rsidR="00F87325" w:rsidRDefault="00F87325" w:rsidP="00F87325">
      <w:pPr>
        <w:pStyle w:val="ListParagraph"/>
        <w:ind w:left="612"/>
        <w:rPr>
          <w:rFonts w:cstheme="minorHAnsi"/>
          <w:color w:val="000000" w:themeColor="text1"/>
          <w:shd w:val="clear" w:color="auto" w:fill="FFFFFF"/>
        </w:rPr>
      </w:pPr>
    </w:p>
    <w:p w14:paraId="32A30827" w14:textId="77777777" w:rsidR="00F87325" w:rsidRDefault="00F87325" w:rsidP="00F87325">
      <w:pPr>
        <w:pStyle w:val="ListParagraph"/>
        <w:ind w:left="612"/>
        <w:rPr>
          <w:rFonts w:cstheme="minorHAnsi"/>
          <w:color w:val="000000" w:themeColor="text1"/>
          <w:shd w:val="clear" w:color="auto" w:fill="FFFFFF"/>
        </w:rPr>
      </w:pPr>
      <w:r w:rsidRPr="000D5DFB">
        <w:rPr>
          <w:rFonts w:cstheme="minorHAnsi"/>
          <w:b/>
          <w:bCs/>
          <w:color w:val="000000" w:themeColor="text1"/>
          <w:shd w:val="clear" w:color="auto" w:fill="FFFFFF"/>
        </w:rPr>
        <w:t>Note</w:t>
      </w:r>
      <w:r>
        <w:rPr>
          <w:rFonts w:cstheme="minorHAnsi"/>
          <w:color w:val="000000" w:themeColor="text1"/>
          <w:shd w:val="clear" w:color="auto" w:fill="FFFFFF"/>
        </w:rPr>
        <w:t>- If following the sc-multiomics protocol, gDNA samples and cDNA samples labelled with unique combinations of oligos during library preparation can be pooled together before sequencing and can be sequenced on the same chip.</w:t>
      </w:r>
    </w:p>
    <w:p w14:paraId="337C8C5F" w14:textId="77777777" w:rsidR="00F87325" w:rsidRPr="00A76574" w:rsidRDefault="00F87325" w:rsidP="00F87325">
      <w:pPr>
        <w:pStyle w:val="ListParagraph"/>
        <w:ind w:left="612"/>
        <w:rPr>
          <w:rFonts w:cstheme="minorHAnsi"/>
          <w:color w:val="000000" w:themeColor="text1"/>
          <w:shd w:val="clear" w:color="auto" w:fill="FFFFFF"/>
        </w:rPr>
      </w:pPr>
    </w:p>
    <w:p w14:paraId="4C21E7EF" w14:textId="77777777" w:rsidR="00F87325" w:rsidRPr="0022531B" w:rsidRDefault="00F87325" w:rsidP="00F87325">
      <w:pPr>
        <w:pStyle w:val="ListParagraph"/>
        <w:numPr>
          <w:ilvl w:val="1"/>
          <w:numId w:val="2"/>
        </w:numPr>
        <w:rPr>
          <w:rFonts w:cstheme="minorHAnsi"/>
          <w:color w:val="000000" w:themeColor="text1"/>
          <w:shd w:val="clear" w:color="auto" w:fill="FFFFFF"/>
        </w:rPr>
      </w:pPr>
      <w:r w:rsidRPr="00A76574">
        <w:rPr>
          <w:rFonts w:cstheme="minorHAnsi"/>
          <w:b/>
          <w:bCs/>
        </w:rPr>
        <w:t>Sequencing depth</w:t>
      </w:r>
      <w:r w:rsidRPr="00A76574">
        <w:rPr>
          <w:rFonts w:cstheme="minorHAnsi"/>
        </w:rPr>
        <w:t xml:space="preserve">- A sequencing depth of ~2 million reads per cell was sufficient for deducing single cell replication timing, at the level of individual genes, across the HepG2 genome. We </w:t>
      </w:r>
      <w:r>
        <w:rPr>
          <w:rFonts w:cstheme="minorHAnsi"/>
        </w:rPr>
        <w:t xml:space="preserve">have </w:t>
      </w:r>
      <w:r w:rsidRPr="00A76574">
        <w:rPr>
          <w:rFonts w:cstheme="minorHAnsi"/>
        </w:rPr>
        <w:t>sequenc</w:t>
      </w:r>
      <w:r>
        <w:rPr>
          <w:rFonts w:cstheme="minorHAnsi"/>
        </w:rPr>
        <w:t xml:space="preserve">ed using both the P1 and P2 lanes on </w:t>
      </w:r>
      <w:r>
        <w:t xml:space="preserve">NextSeq2000 for 300 cycles, 150 PE. </w:t>
      </w:r>
    </w:p>
    <w:p w14:paraId="4BCBAA58" w14:textId="77777777" w:rsidR="00F87325" w:rsidRPr="001647CB" w:rsidRDefault="00F87325" w:rsidP="00F87325">
      <w:pPr>
        <w:rPr>
          <w:rFonts w:cstheme="minorHAnsi"/>
          <w:color w:val="000000" w:themeColor="text1"/>
          <w:shd w:val="clear" w:color="auto" w:fill="FFFFFF"/>
        </w:rPr>
      </w:pPr>
    </w:p>
    <w:p w14:paraId="5F52C8BC" w14:textId="77777777" w:rsidR="00F87325" w:rsidRPr="009D5986" w:rsidRDefault="00F87325" w:rsidP="00F87325">
      <w:pPr>
        <w:rPr>
          <w:rFonts w:cstheme="minorHAnsi"/>
          <w:b/>
          <w:bCs/>
          <w:color w:val="000000" w:themeColor="text1"/>
          <w:shd w:val="clear" w:color="auto" w:fill="FFFFFF"/>
        </w:rPr>
      </w:pPr>
    </w:p>
    <w:p w14:paraId="05EBBB2D" w14:textId="77777777" w:rsidR="00F87325" w:rsidRPr="0035370A" w:rsidRDefault="00F87325" w:rsidP="00F87325">
      <w:pPr>
        <w:pStyle w:val="ListParagraph"/>
        <w:ind w:left="612"/>
        <w:rPr>
          <w:rFonts w:cstheme="minorHAnsi"/>
          <w:color w:val="000000" w:themeColor="text1"/>
          <w:shd w:val="clear" w:color="auto" w:fill="FFFFFF"/>
        </w:rPr>
      </w:pPr>
    </w:p>
    <w:p w14:paraId="3F786FE2" w14:textId="77777777" w:rsidR="00F87325" w:rsidRDefault="00F87325" w:rsidP="00F87325">
      <w:pPr>
        <w:pStyle w:val="ListParagraph"/>
        <w:ind w:left="360"/>
        <w:rPr>
          <w:rFonts w:cstheme="minorHAnsi"/>
          <w:color w:val="222222"/>
          <w:shd w:val="clear" w:color="auto" w:fill="FFFFFF"/>
        </w:rPr>
      </w:pPr>
    </w:p>
    <w:p w14:paraId="0A691655" w14:textId="77777777" w:rsidR="00F87325" w:rsidRDefault="00F87325" w:rsidP="00F87325">
      <w:pPr>
        <w:pStyle w:val="ListParagraph"/>
        <w:ind w:left="360"/>
        <w:rPr>
          <w:rFonts w:cstheme="minorHAnsi"/>
        </w:rPr>
      </w:pPr>
    </w:p>
    <w:p w14:paraId="7C8A7D90" w14:textId="77777777" w:rsidR="00F87325" w:rsidRPr="008629BF" w:rsidRDefault="00F87325" w:rsidP="00F87325">
      <w:pPr>
        <w:pStyle w:val="ListParagraph"/>
        <w:ind w:left="360"/>
        <w:rPr>
          <w:rFonts w:cstheme="minorHAnsi"/>
        </w:rPr>
      </w:pPr>
    </w:p>
    <w:p w14:paraId="67FFF07A" w14:textId="77777777" w:rsidR="00F87325" w:rsidRDefault="00F87325" w:rsidP="00F87325">
      <w:pPr>
        <w:pStyle w:val="ListParagraph"/>
        <w:ind w:left="612"/>
        <w:rPr>
          <w:rFonts w:cstheme="minorHAnsi"/>
          <w:color w:val="000000" w:themeColor="text1"/>
        </w:rPr>
      </w:pPr>
    </w:p>
    <w:p w14:paraId="60B95933" w14:textId="77777777" w:rsidR="00F87325" w:rsidRPr="009B2738" w:rsidRDefault="00F87325" w:rsidP="00F87325">
      <w:pPr>
        <w:pStyle w:val="ListParagraph"/>
        <w:ind w:left="612"/>
        <w:rPr>
          <w:rFonts w:cstheme="minorHAnsi"/>
          <w:color w:val="000000" w:themeColor="text1"/>
        </w:rPr>
      </w:pPr>
    </w:p>
    <w:p w14:paraId="419FF469" w14:textId="77777777" w:rsidR="00F87325" w:rsidRPr="009B2738" w:rsidRDefault="00F87325" w:rsidP="00F87325"/>
    <w:p w14:paraId="307035CA" w14:textId="77777777" w:rsidR="00F87325" w:rsidRPr="006700E1" w:rsidRDefault="00F87325" w:rsidP="00F87325">
      <w:pPr>
        <w:pStyle w:val="ListParagraph"/>
        <w:ind w:left="360"/>
        <w:rPr>
          <w:b/>
          <w:bCs/>
        </w:rPr>
      </w:pPr>
    </w:p>
    <w:p w14:paraId="5BCC5176" w14:textId="77777777" w:rsidR="00F87325" w:rsidRDefault="00F87325" w:rsidP="00F87325">
      <w:pPr>
        <w:pStyle w:val="ListParagraph"/>
        <w:rPr>
          <w:color w:val="000000" w:themeColor="text1"/>
        </w:rPr>
      </w:pPr>
    </w:p>
    <w:p w14:paraId="485DF5DB" w14:textId="77777777" w:rsidR="00F87325" w:rsidRDefault="00F87325" w:rsidP="00F87325">
      <w:pPr>
        <w:pStyle w:val="ListParagraph"/>
        <w:rPr>
          <w:color w:val="000000" w:themeColor="text1"/>
        </w:rPr>
      </w:pPr>
    </w:p>
    <w:p w14:paraId="57ADB22A" w14:textId="77777777" w:rsidR="00F87325" w:rsidRPr="00FA6690" w:rsidRDefault="00F87325" w:rsidP="00F87325"/>
    <w:p w14:paraId="3D98ECC5" w14:textId="77777777" w:rsidR="00F87325" w:rsidRPr="00965CB9" w:rsidRDefault="00F87325" w:rsidP="00F87325"/>
    <w:p w14:paraId="27FFB304" w14:textId="77777777" w:rsidR="006E40B7" w:rsidRDefault="006E40B7"/>
    <w:sectPr w:rsidR="006E4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62189"/>
    <w:multiLevelType w:val="hybridMultilevel"/>
    <w:tmpl w:val="E73EC1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544211"/>
    <w:multiLevelType w:val="hybridMultilevel"/>
    <w:tmpl w:val="46FC92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46ADC"/>
    <w:multiLevelType w:val="multilevel"/>
    <w:tmpl w:val="519A1360"/>
    <w:lvl w:ilvl="0">
      <w:start w:val="1"/>
      <w:numFmt w:val="decimal"/>
      <w:lvlText w:val="%1."/>
      <w:lvlJc w:val="left"/>
      <w:pPr>
        <w:ind w:left="360" w:hanging="360"/>
      </w:pPr>
    </w:lvl>
    <w:lvl w:ilvl="1">
      <w:start w:val="1"/>
      <w:numFmt w:val="decimal"/>
      <w:lvlText w:val="%1.%2."/>
      <w:lvlJc w:val="left"/>
      <w:pPr>
        <w:ind w:left="61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3F1DE8"/>
    <w:multiLevelType w:val="hybridMultilevel"/>
    <w:tmpl w:val="23A826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F01209"/>
    <w:multiLevelType w:val="hybridMultilevel"/>
    <w:tmpl w:val="51660B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1303CC"/>
    <w:multiLevelType w:val="multilevel"/>
    <w:tmpl w:val="9C98FDA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E925DB"/>
    <w:multiLevelType w:val="hybridMultilevel"/>
    <w:tmpl w:val="A51475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DA3DF4"/>
    <w:multiLevelType w:val="hybridMultilevel"/>
    <w:tmpl w:val="405C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913450">
    <w:abstractNumId w:val="1"/>
  </w:num>
  <w:num w:numId="2" w16cid:durableId="1293706848">
    <w:abstractNumId w:val="2"/>
  </w:num>
  <w:num w:numId="3" w16cid:durableId="1292129410">
    <w:abstractNumId w:val="5"/>
  </w:num>
  <w:num w:numId="4" w16cid:durableId="1227915032">
    <w:abstractNumId w:val="6"/>
  </w:num>
  <w:num w:numId="5" w16cid:durableId="448281854">
    <w:abstractNumId w:val="7"/>
  </w:num>
  <w:num w:numId="6" w16cid:durableId="1465587508">
    <w:abstractNumId w:val="4"/>
  </w:num>
  <w:num w:numId="7" w16cid:durableId="1785271969">
    <w:abstractNumId w:val="3"/>
  </w:num>
  <w:num w:numId="8" w16cid:durableId="109277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25"/>
    <w:rsid w:val="0007488E"/>
    <w:rsid w:val="0007618C"/>
    <w:rsid w:val="000B7B44"/>
    <w:rsid w:val="00105062"/>
    <w:rsid w:val="00123C19"/>
    <w:rsid w:val="00134F18"/>
    <w:rsid w:val="001767AC"/>
    <w:rsid w:val="00197899"/>
    <w:rsid w:val="001A3334"/>
    <w:rsid w:val="00207032"/>
    <w:rsid w:val="00215588"/>
    <w:rsid w:val="0022096E"/>
    <w:rsid w:val="00222AA5"/>
    <w:rsid w:val="00236114"/>
    <w:rsid w:val="0026237A"/>
    <w:rsid w:val="00296CC7"/>
    <w:rsid w:val="002C304D"/>
    <w:rsid w:val="002F6BB0"/>
    <w:rsid w:val="00302B6E"/>
    <w:rsid w:val="00306A34"/>
    <w:rsid w:val="00346496"/>
    <w:rsid w:val="00376C7F"/>
    <w:rsid w:val="0038719F"/>
    <w:rsid w:val="003A7277"/>
    <w:rsid w:val="003A7E5D"/>
    <w:rsid w:val="003E0CD2"/>
    <w:rsid w:val="00413F12"/>
    <w:rsid w:val="004718E9"/>
    <w:rsid w:val="00474F99"/>
    <w:rsid w:val="004C7B85"/>
    <w:rsid w:val="004D4ACB"/>
    <w:rsid w:val="005070A1"/>
    <w:rsid w:val="005A5998"/>
    <w:rsid w:val="005A657D"/>
    <w:rsid w:val="005D4FA3"/>
    <w:rsid w:val="00607636"/>
    <w:rsid w:val="00651449"/>
    <w:rsid w:val="0066610E"/>
    <w:rsid w:val="0066662B"/>
    <w:rsid w:val="0067426E"/>
    <w:rsid w:val="006742FA"/>
    <w:rsid w:val="006B44CC"/>
    <w:rsid w:val="006E1AD7"/>
    <w:rsid w:val="006E40B7"/>
    <w:rsid w:val="00716700"/>
    <w:rsid w:val="007443BB"/>
    <w:rsid w:val="00760869"/>
    <w:rsid w:val="00772894"/>
    <w:rsid w:val="007963FA"/>
    <w:rsid w:val="007B797E"/>
    <w:rsid w:val="007F4735"/>
    <w:rsid w:val="00810F8B"/>
    <w:rsid w:val="0084212A"/>
    <w:rsid w:val="0088031F"/>
    <w:rsid w:val="008C0FE1"/>
    <w:rsid w:val="008D141E"/>
    <w:rsid w:val="00910AE2"/>
    <w:rsid w:val="009E6A41"/>
    <w:rsid w:val="009F6F10"/>
    <w:rsid w:val="00A07C6A"/>
    <w:rsid w:val="00A53150"/>
    <w:rsid w:val="00A566DB"/>
    <w:rsid w:val="00A753D2"/>
    <w:rsid w:val="00A80517"/>
    <w:rsid w:val="00A90AC8"/>
    <w:rsid w:val="00AA1F21"/>
    <w:rsid w:val="00AC4217"/>
    <w:rsid w:val="00AC554F"/>
    <w:rsid w:val="00AC7C49"/>
    <w:rsid w:val="00AD7453"/>
    <w:rsid w:val="00AF7670"/>
    <w:rsid w:val="00BB0CD5"/>
    <w:rsid w:val="00C14711"/>
    <w:rsid w:val="00C2519D"/>
    <w:rsid w:val="00C62A4B"/>
    <w:rsid w:val="00C97116"/>
    <w:rsid w:val="00CC6DA3"/>
    <w:rsid w:val="00CD77CB"/>
    <w:rsid w:val="00CE351B"/>
    <w:rsid w:val="00CF6CBB"/>
    <w:rsid w:val="00D15921"/>
    <w:rsid w:val="00DD20F6"/>
    <w:rsid w:val="00DF2E9A"/>
    <w:rsid w:val="00E17E30"/>
    <w:rsid w:val="00E43FE1"/>
    <w:rsid w:val="00E756D7"/>
    <w:rsid w:val="00EC021E"/>
    <w:rsid w:val="00ED5EAE"/>
    <w:rsid w:val="00F028EC"/>
    <w:rsid w:val="00F8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37209B"/>
  <w15:chartTrackingRefBased/>
  <w15:docId w15:val="{4D63A0F4-BA62-8245-9EA9-37E0A577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325"/>
    <w:pPr>
      <w:ind w:left="720"/>
      <w:contextualSpacing/>
    </w:pPr>
  </w:style>
  <w:style w:type="table" w:styleId="TableGrid">
    <w:name w:val="Table Grid"/>
    <w:basedOn w:val="TableNormal"/>
    <w:uiPriority w:val="39"/>
    <w:rsid w:val="00F87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6CC7"/>
    <w:rPr>
      <w:color w:val="0563C1" w:themeColor="hyperlink"/>
      <w:u w:val="single"/>
    </w:rPr>
  </w:style>
  <w:style w:type="character" w:styleId="UnresolvedMention">
    <w:name w:val="Unresolved Mention"/>
    <w:basedOn w:val="DefaultParagraphFont"/>
    <w:uiPriority w:val="99"/>
    <w:semiHidden/>
    <w:unhideWhenUsed/>
    <w:rsid w:val="00296CC7"/>
    <w:rPr>
      <w:color w:val="605E5C"/>
      <w:shd w:val="clear" w:color="auto" w:fill="E1DFDD"/>
    </w:rPr>
  </w:style>
  <w:style w:type="character" w:styleId="CommentReference">
    <w:name w:val="annotation reference"/>
    <w:basedOn w:val="DefaultParagraphFont"/>
    <w:uiPriority w:val="99"/>
    <w:semiHidden/>
    <w:unhideWhenUsed/>
    <w:rsid w:val="00ED5E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neb.com/en-us/products/b6002-nebuffer-r2-1"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support.illumina.com/downloads/nextera_xt_sample_preparation_guide_15031942.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6A9BD6371B39479F8A124F8BD3EA19"/>
        <w:category>
          <w:name w:val="General"/>
          <w:gallery w:val="placeholder"/>
        </w:category>
        <w:types>
          <w:type w:val="bbPlcHdr"/>
        </w:types>
        <w:behaviors>
          <w:behavior w:val="content"/>
        </w:behaviors>
        <w:guid w:val="{284ACC04-43B6-DF41-8AE9-C1F0DE941DA5}"/>
      </w:docPartPr>
      <w:docPartBody>
        <w:p w:rsidR="00000000" w:rsidRDefault="00932CD0" w:rsidP="00932CD0">
          <w:pPr>
            <w:pStyle w:val="B56A9BD6371B39479F8A124F8BD3EA19"/>
          </w:pPr>
          <w:r w:rsidRPr="004817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D0"/>
    <w:rsid w:val="00932CD0"/>
    <w:rsid w:val="009A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CD0"/>
    <w:rPr>
      <w:color w:val="808080"/>
    </w:rPr>
  </w:style>
  <w:style w:type="paragraph" w:customStyle="1" w:styleId="08E68A1C67A3C343BCC86A9D992B482F">
    <w:name w:val="08E68A1C67A3C343BCC86A9D992B482F"/>
    <w:rsid w:val="00932CD0"/>
  </w:style>
  <w:style w:type="paragraph" w:customStyle="1" w:styleId="06A3FCEDD139D247BC47AA7ABED4490E">
    <w:name w:val="06A3FCEDD139D247BC47AA7ABED4490E"/>
    <w:rsid w:val="00932CD0"/>
  </w:style>
  <w:style w:type="paragraph" w:customStyle="1" w:styleId="B56A9BD6371B39479F8A124F8BD3EA19">
    <w:name w:val="B56A9BD6371B39479F8A124F8BD3EA19"/>
    <w:rsid w:val="00932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2358</Words>
  <Characters>13444</Characters>
  <Application>Microsoft Office Word</Application>
  <DocSecurity>0</DocSecurity>
  <Lines>112</Lines>
  <Paragraphs>31</Paragraphs>
  <ScaleCrop>false</ScaleCrop>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anala shetty</dc:creator>
  <cp:keywords/>
  <dc:description/>
  <cp:lastModifiedBy>anala shetty</cp:lastModifiedBy>
  <cp:revision>33</cp:revision>
  <dcterms:created xsi:type="dcterms:W3CDTF">2024-12-06T03:33:00Z</dcterms:created>
  <dcterms:modified xsi:type="dcterms:W3CDTF">2024-12-06T04:06:00Z</dcterms:modified>
</cp:coreProperties>
</file>