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B16" w:rsidRPr="007E2923" w:rsidRDefault="00670063" w:rsidP="00C110A0">
      <w:pPr>
        <w:spacing w:line="360" w:lineRule="auto"/>
        <w:jc w:val="center"/>
        <w:rPr>
          <w:rFonts w:asciiTheme="majorBidi" w:hAnsiTheme="majorBidi" w:cstheme="majorBidi"/>
          <w:b/>
          <w:bCs/>
          <w:sz w:val="28"/>
          <w:szCs w:val="28"/>
          <w:lang w:val="en-US"/>
        </w:rPr>
      </w:pPr>
      <w:r w:rsidRPr="007E2923">
        <w:rPr>
          <w:rFonts w:asciiTheme="majorBidi" w:hAnsiTheme="majorBidi" w:cstheme="majorBidi"/>
          <w:b/>
          <w:bCs/>
          <w:sz w:val="28"/>
          <w:szCs w:val="28"/>
          <w:lang w:val="en-US"/>
        </w:rPr>
        <w:t>Survival a</w:t>
      </w:r>
      <w:r w:rsidR="00915E30" w:rsidRPr="007E2923">
        <w:rPr>
          <w:rFonts w:asciiTheme="majorBidi" w:hAnsiTheme="majorBidi" w:cstheme="majorBidi"/>
          <w:b/>
          <w:bCs/>
          <w:sz w:val="28"/>
          <w:szCs w:val="28"/>
          <w:lang w:val="en-US"/>
        </w:rPr>
        <w:t xml:space="preserve">nd Mortality </w:t>
      </w:r>
      <w:r w:rsidRPr="007E2923">
        <w:rPr>
          <w:rFonts w:asciiTheme="majorBidi" w:hAnsiTheme="majorBidi" w:cstheme="majorBidi"/>
          <w:b/>
          <w:bCs/>
          <w:sz w:val="28"/>
          <w:szCs w:val="28"/>
          <w:lang w:val="en-US"/>
        </w:rPr>
        <w:t>o</w:t>
      </w:r>
      <w:r w:rsidR="00915E30" w:rsidRPr="007E2923">
        <w:rPr>
          <w:rFonts w:asciiTheme="majorBidi" w:hAnsiTheme="majorBidi" w:cstheme="majorBidi"/>
          <w:b/>
          <w:bCs/>
          <w:sz w:val="28"/>
          <w:szCs w:val="28"/>
          <w:lang w:val="en-US"/>
        </w:rPr>
        <w:t>f C</w:t>
      </w:r>
      <w:r w:rsidR="00723021" w:rsidRPr="007E2923">
        <w:rPr>
          <w:rFonts w:asciiTheme="majorBidi" w:hAnsiTheme="majorBidi" w:cstheme="majorBidi"/>
          <w:b/>
          <w:bCs/>
          <w:sz w:val="28"/>
          <w:szCs w:val="28"/>
          <w:lang w:val="en-US"/>
        </w:rPr>
        <w:t>ancer</w:t>
      </w:r>
      <w:r w:rsidR="00915E30" w:rsidRPr="007E2923">
        <w:rPr>
          <w:rFonts w:asciiTheme="majorBidi" w:hAnsiTheme="majorBidi" w:cstheme="majorBidi"/>
          <w:b/>
          <w:bCs/>
          <w:sz w:val="28"/>
          <w:szCs w:val="28"/>
          <w:lang w:val="en-US"/>
        </w:rPr>
        <w:t xml:space="preserve"> </w:t>
      </w:r>
      <w:r w:rsidR="00EC1D1D" w:rsidRPr="007E2923">
        <w:rPr>
          <w:rFonts w:asciiTheme="majorBidi" w:hAnsiTheme="majorBidi" w:cstheme="majorBidi"/>
          <w:b/>
          <w:bCs/>
          <w:sz w:val="28"/>
          <w:szCs w:val="28"/>
          <w:lang w:val="en-US"/>
        </w:rPr>
        <w:t>(S</w:t>
      </w:r>
      <w:r w:rsidR="00356DBF" w:rsidRPr="007E2923">
        <w:rPr>
          <w:rFonts w:asciiTheme="majorBidi" w:hAnsiTheme="majorBidi" w:cstheme="majorBidi"/>
          <w:b/>
          <w:bCs/>
          <w:sz w:val="28"/>
          <w:szCs w:val="28"/>
          <w:lang w:val="en-US"/>
        </w:rPr>
        <w:t>A</w:t>
      </w:r>
      <w:r w:rsidR="00EC1D1D" w:rsidRPr="007E2923">
        <w:rPr>
          <w:rFonts w:asciiTheme="majorBidi" w:hAnsiTheme="majorBidi" w:cstheme="majorBidi"/>
          <w:b/>
          <w:bCs/>
          <w:sz w:val="28"/>
          <w:szCs w:val="28"/>
          <w:lang w:val="en-US"/>
        </w:rPr>
        <w:t>M</w:t>
      </w:r>
      <w:r w:rsidR="00915E30" w:rsidRPr="007E2923">
        <w:rPr>
          <w:rFonts w:asciiTheme="majorBidi" w:hAnsiTheme="majorBidi" w:cstheme="majorBidi"/>
          <w:b/>
          <w:bCs/>
          <w:sz w:val="28"/>
          <w:szCs w:val="28"/>
          <w:lang w:val="en-US"/>
        </w:rPr>
        <w:t>O</w:t>
      </w:r>
      <w:r w:rsidR="00EC1D1D" w:rsidRPr="007E2923">
        <w:rPr>
          <w:rFonts w:asciiTheme="majorBidi" w:hAnsiTheme="majorBidi" w:cstheme="majorBidi"/>
          <w:b/>
          <w:bCs/>
          <w:sz w:val="28"/>
          <w:szCs w:val="28"/>
          <w:lang w:val="en-US"/>
        </w:rPr>
        <w:t>C)</w:t>
      </w:r>
      <w:r w:rsidR="00CF740C" w:rsidRPr="007E2923">
        <w:rPr>
          <w:rFonts w:asciiTheme="majorBidi" w:hAnsiTheme="majorBidi" w:cstheme="majorBidi"/>
          <w:b/>
          <w:bCs/>
          <w:sz w:val="28"/>
          <w:szCs w:val="28"/>
          <w:lang w:val="en-US"/>
        </w:rPr>
        <w:t xml:space="preserve">: </w:t>
      </w:r>
      <w:r w:rsidR="00CC0844" w:rsidRPr="007E2923">
        <w:rPr>
          <w:rFonts w:asciiTheme="majorBidi" w:hAnsiTheme="majorBidi" w:cstheme="majorBidi"/>
          <w:b/>
          <w:bCs/>
          <w:sz w:val="28"/>
          <w:szCs w:val="28"/>
          <w:lang w:val="en-US"/>
        </w:rPr>
        <w:t xml:space="preserve">Prospective observational </w:t>
      </w:r>
      <w:r w:rsidR="001D043D" w:rsidRPr="007E2923">
        <w:rPr>
          <w:rFonts w:asciiTheme="majorBidi" w:hAnsiTheme="majorBidi" w:cstheme="majorBidi"/>
          <w:b/>
          <w:bCs/>
          <w:sz w:val="28"/>
          <w:szCs w:val="28"/>
          <w:lang w:val="en-US"/>
        </w:rPr>
        <w:t>s</w:t>
      </w:r>
      <w:r w:rsidR="00CF740C" w:rsidRPr="007E2923">
        <w:rPr>
          <w:rFonts w:asciiTheme="majorBidi" w:hAnsiTheme="majorBidi" w:cstheme="majorBidi"/>
          <w:b/>
          <w:bCs/>
          <w:sz w:val="28"/>
          <w:szCs w:val="28"/>
          <w:lang w:val="en-US"/>
        </w:rPr>
        <w:t xml:space="preserve">tudy protocol </w:t>
      </w:r>
      <w:r w:rsidR="0020118F" w:rsidRPr="007E2923">
        <w:rPr>
          <w:rFonts w:asciiTheme="majorBidi" w:hAnsiTheme="majorBidi" w:cstheme="majorBidi"/>
          <w:b/>
          <w:bCs/>
          <w:sz w:val="28"/>
          <w:szCs w:val="28"/>
          <w:lang w:val="en-US"/>
        </w:rPr>
        <w:t xml:space="preserve">for </w:t>
      </w:r>
      <w:r w:rsidR="00E93A6F" w:rsidRPr="007E2923">
        <w:rPr>
          <w:rFonts w:asciiTheme="majorBidi" w:hAnsiTheme="majorBidi" w:cstheme="majorBidi"/>
          <w:b/>
          <w:bCs/>
          <w:sz w:val="28"/>
          <w:szCs w:val="28"/>
          <w:lang w:val="en-US"/>
        </w:rPr>
        <w:t>patients diagnosed with cancer</w:t>
      </w:r>
    </w:p>
    <w:p w:rsidR="00566508" w:rsidRPr="007E2923" w:rsidRDefault="00566508" w:rsidP="00E044FD">
      <w:pPr>
        <w:pStyle w:val="Titre3"/>
        <w:numPr>
          <w:ilvl w:val="0"/>
          <w:numId w:val="25"/>
        </w:numPr>
        <w:spacing w:before="0" w:line="480" w:lineRule="auto"/>
        <w:rPr>
          <w:rFonts w:asciiTheme="majorBidi" w:hAnsiTheme="majorBidi"/>
          <w:color w:val="auto"/>
        </w:rPr>
      </w:pPr>
      <w:r w:rsidRPr="007E2923">
        <w:rPr>
          <w:rStyle w:val="lev"/>
          <w:rFonts w:asciiTheme="majorBidi" w:hAnsiTheme="majorBidi"/>
          <w:color w:val="auto"/>
        </w:rPr>
        <w:t>Basic Information</w:t>
      </w:r>
      <w:r w:rsidRPr="007E2923">
        <w:rPr>
          <w:rStyle w:val="lev"/>
          <w:rFonts w:asciiTheme="majorBidi" w:hAnsiTheme="majorBidi"/>
          <w:b w:val="0"/>
          <w:bCs w:val="0"/>
          <w:color w:val="auto"/>
        </w:rPr>
        <w:t xml:space="preserve"> </w:t>
      </w:r>
    </w:p>
    <w:p w:rsidR="00566508" w:rsidRPr="007E2923" w:rsidRDefault="00566508" w:rsidP="00E044FD">
      <w:pPr>
        <w:pStyle w:val="NormalWeb"/>
        <w:spacing w:before="0" w:beforeAutospacing="0" w:after="0" w:afterAutospacing="0" w:line="480" w:lineRule="auto"/>
        <w:rPr>
          <w:rFonts w:asciiTheme="majorBidi" w:hAnsiTheme="majorBidi" w:cstheme="majorBidi"/>
          <w:lang w:val="en-US"/>
        </w:rPr>
      </w:pPr>
      <w:r w:rsidRPr="007E2923">
        <w:rPr>
          <w:rStyle w:val="lev"/>
          <w:rFonts w:asciiTheme="majorBidi" w:hAnsiTheme="majorBidi" w:cstheme="majorBidi"/>
          <w:lang w:val="en-US"/>
        </w:rPr>
        <w:t>Title</w:t>
      </w:r>
      <w:r w:rsidRPr="007E2923">
        <w:rPr>
          <w:rFonts w:asciiTheme="majorBidi" w:hAnsiTheme="majorBidi" w:cstheme="majorBidi"/>
          <w:lang w:val="en-US"/>
        </w:rPr>
        <w:t xml:space="preserve"> : Survival And Mortality of Cancer Patients (SAMOC study)</w:t>
      </w:r>
    </w:p>
    <w:p w:rsidR="0042539E" w:rsidRDefault="00566508" w:rsidP="0042539E">
      <w:pPr>
        <w:pStyle w:val="NormalWeb"/>
        <w:spacing w:before="0" w:beforeAutospacing="0" w:after="0" w:afterAutospacing="0" w:line="480" w:lineRule="auto"/>
        <w:jc w:val="both"/>
        <w:rPr>
          <w:rFonts w:asciiTheme="majorBidi" w:hAnsiTheme="majorBidi" w:cstheme="majorBidi"/>
          <w:lang w:val="en-US"/>
        </w:rPr>
      </w:pPr>
      <w:r w:rsidRPr="007E2923">
        <w:rPr>
          <w:rStyle w:val="lev"/>
          <w:rFonts w:asciiTheme="majorBidi" w:hAnsiTheme="majorBidi" w:cstheme="majorBidi"/>
          <w:lang w:val="en-US"/>
        </w:rPr>
        <w:t>Abstract</w:t>
      </w:r>
      <w:r w:rsidRPr="007E2923">
        <w:rPr>
          <w:rFonts w:asciiTheme="majorBidi" w:hAnsiTheme="majorBidi" w:cstheme="majorBidi"/>
          <w:lang w:val="en-US"/>
        </w:rPr>
        <w:t xml:space="preserve"> : </w:t>
      </w:r>
    </w:p>
    <w:p w:rsidR="0042539E" w:rsidRPr="0042539E" w:rsidRDefault="0042539E" w:rsidP="0042539E">
      <w:pPr>
        <w:spacing w:after="0" w:line="480" w:lineRule="auto"/>
        <w:jc w:val="both"/>
        <w:rPr>
          <w:rFonts w:ascii="Times New Roman" w:eastAsia="Times New Roman" w:hAnsi="Times New Roman" w:cs="Times New Roman"/>
          <w:sz w:val="24"/>
          <w:szCs w:val="24"/>
          <w:lang w:val="en-US"/>
        </w:rPr>
      </w:pPr>
      <w:r w:rsidRPr="0042539E">
        <w:rPr>
          <w:rFonts w:ascii="Times New Roman" w:eastAsia="Times New Roman" w:hAnsi="Times New Roman" w:cs="Times New Roman"/>
          <w:sz w:val="24"/>
          <w:szCs w:val="24"/>
          <w:lang w:val="en-US"/>
        </w:rPr>
        <w:t>Indicators of cancer mortality are essential for public health planning. In Tunisia, significant progress has been made in cancer management, including enhanced screening, treatment availability, and reimbursement through the National Health Insurance Fund.</w:t>
      </w:r>
    </w:p>
    <w:p w:rsidR="0042539E" w:rsidRPr="0042539E" w:rsidRDefault="0042539E" w:rsidP="0042539E">
      <w:pPr>
        <w:spacing w:after="0" w:line="480" w:lineRule="auto"/>
        <w:jc w:val="both"/>
        <w:rPr>
          <w:rFonts w:ascii="Times New Roman" w:eastAsia="Times New Roman" w:hAnsi="Times New Roman" w:cs="Times New Roman"/>
          <w:sz w:val="24"/>
          <w:szCs w:val="24"/>
          <w:lang w:val="en-US"/>
        </w:rPr>
      </w:pPr>
      <w:r w:rsidRPr="0042539E">
        <w:rPr>
          <w:rFonts w:ascii="Times New Roman" w:eastAsia="Times New Roman" w:hAnsi="Times New Roman" w:cs="Times New Roman"/>
          <w:sz w:val="24"/>
          <w:szCs w:val="24"/>
          <w:lang w:val="en-US"/>
        </w:rPr>
        <w:t>The Survival And Mortality Of Cancer (SAMOC) study is a prospective observational protocol designed to assess the impact of these advances on patient outcomes by estimating cancer-specific survival and mortality. SAMOC includes all patients diagnosed with cancer in a Tunisian g</w:t>
      </w:r>
      <w:r w:rsidR="005939C2">
        <w:rPr>
          <w:rFonts w:ascii="Times New Roman" w:eastAsia="Times New Roman" w:hAnsi="Times New Roman" w:cs="Times New Roman"/>
          <w:sz w:val="24"/>
          <w:szCs w:val="24"/>
          <w:lang w:val="en-US"/>
        </w:rPr>
        <w:t>overnorate between 2002 and 2014</w:t>
      </w:r>
      <w:r w:rsidRPr="0042539E">
        <w:rPr>
          <w:rFonts w:ascii="Times New Roman" w:eastAsia="Times New Roman" w:hAnsi="Times New Roman" w:cs="Times New Roman"/>
          <w:sz w:val="24"/>
          <w:szCs w:val="24"/>
          <w:lang w:val="en-US"/>
        </w:rPr>
        <w:t>. Data were obtained from the Cancer Registry of Central Tunisia and cross-verified with the Regional Register of Hospital Morbidity and oncology departments. Mortality status was ascertained through a multi-step process using hospital records and national death registries in collaboration with the Ministry of Social Affairs and municipalities with access to the national mortality database.</w:t>
      </w:r>
    </w:p>
    <w:p w:rsidR="0042539E" w:rsidRPr="0042539E" w:rsidRDefault="0042539E" w:rsidP="0042539E">
      <w:pPr>
        <w:spacing w:after="0" w:line="480" w:lineRule="auto"/>
        <w:jc w:val="both"/>
        <w:rPr>
          <w:rFonts w:ascii="Times New Roman" w:eastAsia="Times New Roman" w:hAnsi="Times New Roman" w:cs="Times New Roman"/>
          <w:sz w:val="24"/>
          <w:szCs w:val="24"/>
          <w:lang w:val="en-US"/>
        </w:rPr>
      </w:pPr>
      <w:r w:rsidRPr="0042539E">
        <w:rPr>
          <w:rFonts w:ascii="Times New Roman" w:eastAsia="Times New Roman" w:hAnsi="Times New Roman" w:cs="Times New Roman"/>
          <w:sz w:val="24"/>
          <w:szCs w:val="24"/>
          <w:lang w:val="en-US"/>
        </w:rPr>
        <w:t>This updated protocol refines data linkage, verification steps, and integration of multiple data sources to maximize completeness and accuracy. The study will provide robust estimates of cancer survival, mortality, and trends, informing targeted primary and secondary cancer prevention strategies in Tunisia and comparable settings.</w:t>
      </w:r>
    </w:p>
    <w:p w:rsidR="0042539E" w:rsidRPr="00DB33FD" w:rsidRDefault="0042539E" w:rsidP="0042539E">
      <w:pPr>
        <w:pStyle w:val="NormalWeb"/>
        <w:spacing w:before="0" w:beforeAutospacing="0" w:after="0" w:afterAutospacing="0" w:line="480" w:lineRule="auto"/>
        <w:jc w:val="both"/>
        <w:rPr>
          <w:lang w:val="en-US"/>
        </w:rPr>
      </w:pPr>
    </w:p>
    <w:p w:rsidR="00DB33FD" w:rsidRPr="00DB33FD" w:rsidRDefault="00DB33FD" w:rsidP="00D32DFA">
      <w:pPr>
        <w:spacing w:after="0" w:line="480" w:lineRule="auto"/>
        <w:jc w:val="both"/>
        <w:rPr>
          <w:rFonts w:ascii="Times New Roman" w:eastAsia="Times New Roman" w:hAnsi="Times New Roman" w:cs="Times New Roman"/>
          <w:sz w:val="24"/>
          <w:szCs w:val="24"/>
          <w:lang w:val="en-US"/>
        </w:rPr>
      </w:pPr>
    </w:p>
    <w:p w:rsidR="006B1D7C" w:rsidRPr="007E2923" w:rsidRDefault="00566508" w:rsidP="00D32DFA">
      <w:pPr>
        <w:pStyle w:val="NormalWeb"/>
        <w:spacing w:before="0" w:beforeAutospacing="0" w:after="0" w:afterAutospacing="0" w:line="480" w:lineRule="auto"/>
        <w:rPr>
          <w:rFonts w:asciiTheme="majorBidi" w:hAnsiTheme="majorBidi" w:cstheme="majorBidi"/>
          <w:lang w:val="en-US"/>
        </w:rPr>
      </w:pPr>
      <w:r w:rsidRPr="007E2923">
        <w:rPr>
          <w:rStyle w:val="lev"/>
          <w:rFonts w:asciiTheme="majorBidi" w:hAnsiTheme="majorBidi" w:cstheme="majorBidi"/>
          <w:lang w:val="en-US"/>
        </w:rPr>
        <w:t>Keywords</w:t>
      </w:r>
      <w:r w:rsidR="006B1D7C" w:rsidRPr="007E2923">
        <w:rPr>
          <w:rFonts w:asciiTheme="majorBidi" w:hAnsiTheme="majorBidi" w:cstheme="majorBidi"/>
          <w:lang w:val="en-US"/>
        </w:rPr>
        <w:t xml:space="preserve"> : C</w:t>
      </w:r>
      <w:r w:rsidRPr="007E2923">
        <w:rPr>
          <w:rFonts w:asciiTheme="majorBidi" w:hAnsiTheme="majorBidi" w:cstheme="majorBidi"/>
          <w:lang w:val="en-US"/>
        </w:rPr>
        <w:t>ancer</w:t>
      </w:r>
      <w:r w:rsidR="006B1D7C" w:rsidRPr="007E2923">
        <w:rPr>
          <w:rFonts w:asciiTheme="majorBidi" w:hAnsiTheme="majorBidi" w:cstheme="majorBidi"/>
          <w:lang w:val="en-US"/>
        </w:rPr>
        <w:t xml:space="preserve">, </w:t>
      </w:r>
      <w:r w:rsidR="006B1D7C" w:rsidRPr="007E2923">
        <w:rPr>
          <w:rFonts w:cstheme="majorBidi"/>
          <w:lang w:val="en-US"/>
        </w:rPr>
        <w:t xml:space="preserve">Incidence, Mortality, Survival Rate, Epidemiology, Screening, Cohort Studies, Disability-Adjusted Life Years, Cancer registry, </w:t>
      </w:r>
      <w:r w:rsidR="003F0CA4">
        <w:rPr>
          <w:rFonts w:asciiTheme="majorBidi" w:hAnsiTheme="majorBidi" w:cstheme="majorBidi"/>
          <w:lang w:val="en-US"/>
        </w:rPr>
        <w:t>Tunisia.</w:t>
      </w:r>
    </w:p>
    <w:p w:rsidR="00566508" w:rsidRPr="0033186D" w:rsidRDefault="00566508" w:rsidP="00566508">
      <w:pPr>
        <w:rPr>
          <w:rFonts w:asciiTheme="majorBidi" w:hAnsiTheme="majorBidi" w:cstheme="majorBidi"/>
          <w:lang w:val="en-US"/>
        </w:rPr>
      </w:pPr>
    </w:p>
    <w:p w:rsidR="00566508" w:rsidRPr="007E2923" w:rsidRDefault="00566508" w:rsidP="004A5B67">
      <w:pPr>
        <w:pStyle w:val="Titre3"/>
        <w:numPr>
          <w:ilvl w:val="0"/>
          <w:numId w:val="25"/>
        </w:numPr>
        <w:spacing w:before="0" w:line="480" w:lineRule="auto"/>
        <w:rPr>
          <w:rFonts w:asciiTheme="majorBidi" w:hAnsiTheme="majorBidi"/>
          <w:color w:val="auto"/>
          <w:lang w:val="en-US"/>
        </w:rPr>
      </w:pPr>
      <w:r w:rsidRPr="007E2923">
        <w:rPr>
          <w:rStyle w:val="lev"/>
          <w:rFonts w:asciiTheme="majorBidi" w:hAnsiTheme="majorBidi"/>
          <w:color w:val="auto"/>
          <w:lang w:val="en-US"/>
        </w:rPr>
        <w:lastRenderedPageBreak/>
        <w:t>Introduction / Background</w:t>
      </w:r>
    </w:p>
    <w:p w:rsidR="00D32DFA" w:rsidRPr="007E2923" w:rsidRDefault="00D32DFA" w:rsidP="00E044FD">
      <w:pPr>
        <w:spacing w:after="0" w:line="480" w:lineRule="auto"/>
        <w:jc w:val="both"/>
        <w:rPr>
          <w:rFonts w:asciiTheme="majorBidi" w:hAnsiTheme="majorBidi" w:cstheme="majorBidi"/>
          <w:sz w:val="24"/>
          <w:szCs w:val="24"/>
          <w:lang w:val="en-US"/>
        </w:rPr>
      </w:pPr>
      <w:r w:rsidRPr="007E2923">
        <w:rPr>
          <w:rFonts w:asciiTheme="majorBidi" w:hAnsiTheme="majorBidi" w:cstheme="majorBidi"/>
          <w:sz w:val="24"/>
          <w:szCs w:val="24"/>
          <w:lang w:val="en-US"/>
        </w:rPr>
        <w:t xml:space="preserve">Statistics on mortality rates are of great interest in the field of public health. The determination and evaluation of the specific causes of death represent key components of health system strategies and health policy to develop specific preventive actions </w:t>
      </w:r>
      <w:r w:rsidR="00E044FD" w:rsidRPr="007E2923">
        <w:rPr>
          <w:rFonts w:ascii="Times New Roman" w:hAnsi="Times New Roman" w:cs="Times New Roman"/>
          <w:sz w:val="24"/>
          <w:lang w:val="en-US"/>
        </w:rPr>
        <w:t>(</w:t>
      </w:r>
      <w:r w:rsidRPr="007E2923">
        <w:rPr>
          <w:rFonts w:ascii="Times New Roman" w:hAnsi="Times New Roman" w:cs="Times New Roman"/>
          <w:sz w:val="24"/>
          <w:lang w:val="en-US"/>
        </w:rPr>
        <w:t>1</w:t>
      </w:r>
      <w:r w:rsidR="00E044FD" w:rsidRPr="007E2923">
        <w:rPr>
          <w:rFonts w:ascii="Times New Roman" w:hAnsi="Times New Roman" w:cs="Times New Roman"/>
          <w:sz w:val="24"/>
          <w:lang w:val="en-US"/>
        </w:rPr>
        <w:t>)</w:t>
      </w:r>
      <w:r w:rsidRPr="007E2923">
        <w:rPr>
          <w:rFonts w:asciiTheme="majorBidi" w:hAnsiTheme="majorBidi" w:cstheme="majorBidi"/>
          <w:sz w:val="24"/>
          <w:szCs w:val="24"/>
          <w:lang w:val="en-US"/>
        </w:rPr>
        <w:t xml:space="preserve">. Mortality indicators can be used for different purposes. They can be used to assess the health status of a population, to contribute to decision making, and to determine public health priorities. These indicators include number of deaths, crude mortality rate, specific mortality rate, age-standardized mortality rate and years of potential life lost (YPLL) </w:t>
      </w:r>
      <w:r w:rsidR="00E044FD" w:rsidRPr="007E2923">
        <w:rPr>
          <w:rFonts w:ascii="Times New Roman" w:hAnsi="Times New Roman" w:cs="Times New Roman"/>
          <w:sz w:val="24"/>
          <w:lang w:val="en-US"/>
        </w:rPr>
        <w:t>(</w:t>
      </w:r>
      <w:r w:rsidRPr="007E2923">
        <w:rPr>
          <w:rFonts w:ascii="Times New Roman" w:hAnsi="Times New Roman" w:cs="Times New Roman"/>
          <w:sz w:val="24"/>
          <w:lang w:val="en-US"/>
        </w:rPr>
        <w:t>2</w:t>
      </w:r>
      <w:r w:rsidR="00E044FD" w:rsidRPr="007E2923">
        <w:rPr>
          <w:rFonts w:ascii="Times New Roman" w:hAnsi="Times New Roman" w:cs="Times New Roman"/>
          <w:sz w:val="24"/>
          <w:lang w:val="en-US"/>
        </w:rPr>
        <w:t>)</w:t>
      </w:r>
      <w:r w:rsidRPr="007E2923">
        <w:rPr>
          <w:rFonts w:asciiTheme="majorBidi" w:hAnsiTheme="majorBidi" w:cstheme="majorBidi"/>
          <w:sz w:val="24"/>
          <w:szCs w:val="24"/>
          <w:lang w:val="en-US"/>
        </w:rPr>
        <w:t>.</w:t>
      </w:r>
    </w:p>
    <w:p w:rsidR="00D32DFA" w:rsidRPr="007E2923" w:rsidRDefault="00D32DFA" w:rsidP="00E044FD">
      <w:pPr>
        <w:spacing w:after="0" w:line="480" w:lineRule="auto"/>
        <w:jc w:val="both"/>
        <w:rPr>
          <w:rFonts w:asciiTheme="majorBidi" w:hAnsiTheme="majorBidi" w:cstheme="majorBidi"/>
          <w:sz w:val="24"/>
          <w:szCs w:val="24"/>
          <w:lang w:val="en-US"/>
        </w:rPr>
      </w:pPr>
      <w:r w:rsidRPr="007E2923">
        <w:rPr>
          <w:rFonts w:asciiTheme="majorBidi" w:hAnsiTheme="majorBidi" w:cstheme="majorBidi"/>
          <w:sz w:val="24"/>
          <w:szCs w:val="24"/>
          <w:lang w:val="en-US"/>
        </w:rPr>
        <w:t xml:space="preserve">Determining mortality rates among patients diagnosed with cancer is particularly important. In fact, cancer represents the major cause of death in the world. Roughly 10 million deaths, or about one in every six deaths, are caused by cancer in 2020 </w:t>
      </w:r>
      <w:r w:rsidR="00E044FD" w:rsidRPr="007E2923">
        <w:rPr>
          <w:rFonts w:ascii="Times New Roman" w:hAnsi="Times New Roman" w:cs="Times New Roman"/>
          <w:sz w:val="24"/>
          <w:lang w:val="en-US"/>
        </w:rPr>
        <w:t>(</w:t>
      </w:r>
      <w:r w:rsidRPr="007E2923">
        <w:rPr>
          <w:rFonts w:ascii="Times New Roman" w:hAnsi="Times New Roman" w:cs="Times New Roman"/>
          <w:sz w:val="24"/>
          <w:lang w:val="en-US"/>
        </w:rPr>
        <w:t>3</w:t>
      </w:r>
      <w:r w:rsidR="00E044FD" w:rsidRPr="007E2923">
        <w:rPr>
          <w:rFonts w:ascii="Times New Roman" w:hAnsi="Times New Roman" w:cs="Times New Roman"/>
          <w:sz w:val="24"/>
          <w:lang w:val="en-US"/>
        </w:rPr>
        <w:t>)</w:t>
      </w:r>
      <w:r w:rsidRPr="007E2923">
        <w:rPr>
          <w:rFonts w:asciiTheme="majorBidi" w:hAnsiTheme="majorBidi" w:cstheme="majorBidi"/>
          <w:sz w:val="24"/>
          <w:szCs w:val="24"/>
          <w:lang w:val="en-US"/>
        </w:rPr>
        <w:t>. In Tunisia, according to the National Statistics on the Causes of Death in 2020, tumoral causes represented 15.6% of deaths in the general population. Malignant tumors of the digestive organs and malignant tumors of the trachea, bronchus and lung represented the 6</w:t>
      </w:r>
      <w:r w:rsidRPr="007E2923">
        <w:rPr>
          <w:rFonts w:asciiTheme="majorBidi" w:hAnsiTheme="majorBidi" w:cstheme="majorBidi"/>
          <w:sz w:val="24"/>
          <w:szCs w:val="24"/>
          <w:vertAlign w:val="superscript"/>
          <w:lang w:val="en-US"/>
        </w:rPr>
        <w:t xml:space="preserve">th </w:t>
      </w:r>
      <w:r w:rsidRPr="007E2923">
        <w:rPr>
          <w:rFonts w:asciiTheme="majorBidi" w:hAnsiTheme="majorBidi" w:cstheme="majorBidi"/>
          <w:sz w:val="24"/>
          <w:szCs w:val="24"/>
          <w:lang w:val="en-US"/>
        </w:rPr>
        <w:t>and 7</w:t>
      </w:r>
      <w:r w:rsidRPr="007E2923">
        <w:rPr>
          <w:rFonts w:asciiTheme="majorBidi" w:hAnsiTheme="majorBidi" w:cstheme="majorBidi"/>
          <w:sz w:val="24"/>
          <w:szCs w:val="24"/>
          <w:vertAlign w:val="superscript"/>
          <w:lang w:val="en-US"/>
        </w:rPr>
        <w:t>th</w:t>
      </w:r>
      <w:r w:rsidRPr="007E2923">
        <w:rPr>
          <w:rFonts w:asciiTheme="majorBidi" w:hAnsiTheme="majorBidi" w:cstheme="majorBidi"/>
          <w:sz w:val="24"/>
          <w:szCs w:val="24"/>
          <w:lang w:val="en-US"/>
        </w:rPr>
        <w:t xml:space="preserve"> cause of all deaths representing 3.7% and 3.4% of deaths respectively </w:t>
      </w:r>
      <w:r w:rsidR="00E044FD" w:rsidRPr="007E2923">
        <w:rPr>
          <w:rFonts w:ascii="Times New Roman" w:hAnsi="Times New Roman" w:cs="Times New Roman"/>
          <w:sz w:val="24"/>
          <w:lang w:val="en-US"/>
        </w:rPr>
        <w:t>(</w:t>
      </w:r>
      <w:r w:rsidRPr="007E2923">
        <w:rPr>
          <w:rFonts w:ascii="Times New Roman" w:hAnsi="Times New Roman" w:cs="Times New Roman"/>
          <w:sz w:val="24"/>
          <w:lang w:val="en-US"/>
        </w:rPr>
        <w:t>4</w:t>
      </w:r>
      <w:r w:rsidR="00E044FD" w:rsidRPr="007E2923">
        <w:rPr>
          <w:rFonts w:ascii="Times New Roman" w:hAnsi="Times New Roman" w:cs="Times New Roman"/>
          <w:sz w:val="24"/>
          <w:lang w:val="en-US"/>
        </w:rPr>
        <w:t>)</w:t>
      </w:r>
      <w:r w:rsidRPr="007E2923">
        <w:rPr>
          <w:rFonts w:asciiTheme="majorBidi" w:hAnsiTheme="majorBidi" w:cstheme="majorBidi"/>
          <w:sz w:val="24"/>
          <w:szCs w:val="24"/>
          <w:lang w:val="en-US"/>
        </w:rPr>
        <w:t>. Analysis of data on cancer mortality and therefore cancer survival allows to emphasize the importance of cancer prevention at an early stage. Early detection including screening and early diagnosis can reduce cancer mortality.</w:t>
      </w:r>
    </w:p>
    <w:p w:rsidR="00D32DFA" w:rsidRPr="007E2923" w:rsidRDefault="00D32DFA" w:rsidP="00E044FD">
      <w:pPr>
        <w:spacing w:after="0" w:line="480" w:lineRule="auto"/>
        <w:jc w:val="both"/>
        <w:rPr>
          <w:rFonts w:asciiTheme="majorBidi" w:hAnsiTheme="majorBidi" w:cstheme="majorBidi"/>
          <w:sz w:val="24"/>
          <w:szCs w:val="24"/>
          <w:lang w:val="en-US"/>
        </w:rPr>
      </w:pPr>
      <w:r w:rsidRPr="007E2923">
        <w:rPr>
          <w:rFonts w:asciiTheme="majorBidi" w:hAnsiTheme="majorBidi" w:cstheme="majorBidi"/>
          <w:sz w:val="24"/>
          <w:szCs w:val="24"/>
          <w:lang w:val="en-US"/>
        </w:rPr>
        <w:t xml:space="preserve">In Tunisia, the Medical Certificate of Death is the main tool for collecting data on death. The registration of deaths is systematic in municipalities through the civil registration method which is based on the compulsory and continuous recording of the occurrence of vital events such of death status. In our country, the system of information on medical causes of death was created at the end of the 1990s. By introducing the use of the international model of the medical certificate specifying the cause of death, Tunisia is now part of the restricted group of countries where the information on medical causes of death is one of the fundamental and unavoidable bases of medical research, epidemiological surveillance, rationalization and management of health services </w:t>
      </w:r>
      <w:r w:rsidR="00E044FD" w:rsidRPr="007E2923">
        <w:rPr>
          <w:rFonts w:ascii="Times New Roman" w:hAnsi="Times New Roman" w:cs="Times New Roman"/>
          <w:sz w:val="24"/>
          <w:lang w:val="en-US"/>
        </w:rPr>
        <w:t>(</w:t>
      </w:r>
      <w:r w:rsidRPr="007E2923">
        <w:rPr>
          <w:rFonts w:ascii="Times New Roman" w:hAnsi="Times New Roman" w:cs="Times New Roman"/>
          <w:sz w:val="24"/>
          <w:lang w:val="en-US"/>
        </w:rPr>
        <w:t>5</w:t>
      </w:r>
      <w:r w:rsidR="00E044FD" w:rsidRPr="007E2923">
        <w:rPr>
          <w:rFonts w:ascii="Times New Roman" w:hAnsi="Times New Roman" w:cs="Times New Roman"/>
          <w:sz w:val="24"/>
          <w:lang w:val="en-US"/>
        </w:rPr>
        <w:t>)</w:t>
      </w:r>
      <w:r w:rsidRPr="007E2923">
        <w:rPr>
          <w:rFonts w:asciiTheme="majorBidi" w:hAnsiTheme="majorBidi" w:cstheme="majorBidi"/>
          <w:sz w:val="24"/>
          <w:szCs w:val="24"/>
          <w:lang w:val="en-US"/>
        </w:rPr>
        <w:t>.</w:t>
      </w:r>
    </w:p>
    <w:p w:rsidR="00D32DFA" w:rsidRPr="007E2923" w:rsidRDefault="00D32DFA" w:rsidP="00E044FD">
      <w:pPr>
        <w:spacing w:after="0" w:line="480" w:lineRule="auto"/>
        <w:jc w:val="both"/>
        <w:rPr>
          <w:rFonts w:asciiTheme="majorBidi" w:hAnsiTheme="majorBidi" w:cstheme="majorBidi"/>
          <w:sz w:val="24"/>
          <w:szCs w:val="24"/>
          <w:lang w:val="en-US"/>
        </w:rPr>
      </w:pPr>
      <w:r w:rsidRPr="007E2923">
        <w:rPr>
          <w:rFonts w:asciiTheme="majorBidi" w:hAnsiTheme="majorBidi" w:cstheme="majorBidi"/>
          <w:sz w:val="24"/>
          <w:szCs w:val="24"/>
          <w:lang w:val="en-US"/>
        </w:rPr>
        <w:t xml:space="preserve">The Medical Certificate of Death is made up of an upper section completed in a nominative copy and an anonymous copy, and a lower section signed by a doctor. The National Institute of Public Health receives the anonymous upper copy and the lower part in order to monitor the causes of death. The Information System on Causes of Death has shown a notable improvement in its coverage rate and in the quality of data. The nominative upper copy is archived at the municipality. The Ministry of Social Affairs receives this part which contains all the names and surnames of all the deaths whatever the cause </w:t>
      </w:r>
      <w:r w:rsidR="00E044FD" w:rsidRPr="007E2923">
        <w:rPr>
          <w:rFonts w:ascii="Times New Roman" w:hAnsi="Times New Roman" w:cs="Times New Roman"/>
          <w:sz w:val="24"/>
          <w:lang w:val="en-US"/>
        </w:rPr>
        <w:t>(</w:t>
      </w:r>
      <w:r w:rsidRPr="007E2923">
        <w:rPr>
          <w:rFonts w:ascii="Times New Roman" w:hAnsi="Times New Roman" w:cs="Times New Roman"/>
          <w:sz w:val="24"/>
          <w:lang w:val="en-US"/>
        </w:rPr>
        <w:t>4</w:t>
      </w:r>
      <w:r w:rsidR="00E044FD" w:rsidRPr="007E2923">
        <w:rPr>
          <w:rFonts w:ascii="Times New Roman" w:hAnsi="Times New Roman" w:cs="Times New Roman"/>
          <w:sz w:val="24"/>
          <w:lang w:val="en-US"/>
        </w:rPr>
        <w:t>)</w:t>
      </w:r>
      <w:r w:rsidRPr="007E2923">
        <w:rPr>
          <w:rFonts w:asciiTheme="majorBidi" w:hAnsiTheme="majorBidi" w:cstheme="majorBidi"/>
          <w:sz w:val="24"/>
          <w:szCs w:val="24"/>
          <w:lang w:val="en-US"/>
        </w:rPr>
        <w:t>.</w:t>
      </w:r>
    </w:p>
    <w:p w:rsidR="00566508" w:rsidRPr="007E2923" w:rsidRDefault="00D32DFA" w:rsidP="00E044FD">
      <w:pPr>
        <w:pStyle w:val="NormalWeb"/>
        <w:spacing w:before="0" w:beforeAutospacing="0" w:after="0" w:afterAutospacing="0" w:line="480" w:lineRule="auto"/>
        <w:rPr>
          <w:rFonts w:asciiTheme="majorBidi" w:hAnsiTheme="majorBidi" w:cstheme="majorBidi"/>
          <w:lang w:val="en-US"/>
        </w:rPr>
      </w:pPr>
      <w:r w:rsidRPr="007E2923">
        <w:rPr>
          <w:rFonts w:asciiTheme="majorBidi" w:hAnsiTheme="majorBidi" w:cstheme="majorBidi"/>
          <w:lang w:val="en-US"/>
        </w:rPr>
        <w:t>In Tunisia, the number of oncology departments and oncologists has increased. Moreover, the National Health Insurance Fund is taking care of cancer patients directly, which has facilitated access to treatment, particularly chemotherapy sessions. Accordingly, we want to evaluate the impact of these advances on the outcomes of cancer patients</w:t>
      </w:r>
    </w:p>
    <w:p w:rsidR="00566508" w:rsidRPr="007E2923" w:rsidRDefault="00566508" w:rsidP="004A5B67">
      <w:pPr>
        <w:pStyle w:val="Titre3"/>
        <w:numPr>
          <w:ilvl w:val="0"/>
          <w:numId w:val="25"/>
        </w:numPr>
        <w:spacing w:before="0" w:line="480" w:lineRule="auto"/>
        <w:rPr>
          <w:rFonts w:asciiTheme="majorBidi" w:hAnsiTheme="majorBidi"/>
          <w:color w:val="auto"/>
          <w:lang w:val="en-US"/>
        </w:rPr>
      </w:pPr>
      <w:r w:rsidRPr="007E2923">
        <w:rPr>
          <w:rStyle w:val="lev"/>
          <w:rFonts w:asciiTheme="majorBidi" w:hAnsiTheme="majorBidi"/>
          <w:color w:val="auto"/>
          <w:lang w:val="en-US"/>
        </w:rPr>
        <w:t>Objectives</w:t>
      </w:r>
    </w:p>
    <w:p w:rsidR="00566508" w:rsidRPr="007E2923" w:rsidRDefault="00E044FD" w:rsidP="004A5B67">
      <w:pPr>
        <w:spacing w:after="0" w:line="480" w:lineRule="auto"/>
        <w:jc w:val="both"/>
        <w:rPr>
          <w:rFonts w:asciiTheme="majorBidi" w:eastAsia="Times New Roman" w:hAnsiTheme="majorBidi" w:cstheme="majorBidi"/>
          <w:sz w:val="24"/>
          <w:szCs w:val="24"/>
          <w:lang w:val="en-US" w:eastAsia="fr-FR"/>
        </w:rPr>
      </w:pPr>
      <w:r w:rsidRPr="007E2923">
        <w:rPr>
          <w:rFonts w:asciiTheme="majorBidi" w:eastAsia="Times New Roman" w:hAnsiTheme="majorBidi" w:cstheme="majorBidi"/>
          <w:sz w:val="24"/>
          <w:szCs w:val="24"/>
          <w:lang w:val="en-US" w:eastAsia="fr-FR"/>
        </w:rPr>
        <w:t>The SAMOC study, conducted in collaboration with the Ministry of Social Affairs, targets a population diagnosed with cancer in a Tunisian governorate between 2002 and 2018. Its objectives are to determine cancer-specific mortality, estimate 5-year prevalence, project mortality trends to 2030, and analyze survival outcomes in light of national cancer prevention policies.</w:t>
      </w:r>
    </w:p>
    <w:p w:rsidR="00566508" w:rsidRPr="007E2923" w:rsidRDefault="00566508" w:rsidP="00EB7E21">
      <w:pPr>
        <w:pStyle w:val="Titre3"/>
        <w:numPr>
          <w:ilvl w:val="0"/>
          <w:numId w:val="25"/>
        </w:numPr>
        <w:rPr>
          <w:rFonts w:asciiTheme="majorBidi" w:hAnsiTheme="majorBidi"/>
          <w:b/>
          <w:bCs/>
          <w:color w:val="auto"/>
        </w:rPr>
      </w:pPr>
      <w:r w:rsidRPr="007E2923">
        <w:rPr>
          <w:rStyle w:val="lev"/>
          <w:rFonts w:asciiTheme="majorBidi" w:hAnsiTheme="majorBidi"/>
          <w:color w:val="auto"/>
        </w:rPr>
        <w:t>Methods</w:t>
      </w:r>
    </w:p>
    <w:p w:rsidR="00566508" w:rsidRPr="007E2923" w:rsidRDefault="00566508" w:rsidP="00566508">
      <w:pPr>
        <w:pStyle w:val="NormalWeb"/>
        <w:rPr>
          <w:rFonts w:asciiTheme="majorBidi" w:hAnsiTheme="majorBidi" w:cstheme="majorBidi"/>
        </w:rPr>
      </w:pPr>
      <w:r w:rsidRPr="007E2923">
        <w:rPr>
          <w:rStyle w:val="lev"/>
          <w:rFonts w:asciiTheme="majorBidi" w:hAnsiTheme="majorBidi" w:cstheme="majorBidi"/>
        </w:rPr>
        <w:t>4.1 Study design &amp; setting</w:t>
      </w:r>
    </w:p>
    <w:p w:rsidR="004D4E4E" w:rsidRPr="007E2923" w:rsidRDefault="004D4E4E" w:rsidP="004D4E4E">
      <w:pPr>
        <w:pStyle w:val="NormalWeb"/>
        <w:numPr>
          <w:ilvl w:val="0"/>
          <w:numId w:val="13"/>
        </w:numPr>
        <w:spacing w:before="0" w:beforeAutospacing="0" w:after="0" w:afterAutospacing="0" w:line="480" w:lineRule="auto"/>
        <w:jc w:val="both"/>
        <w:rPr>
          <w:rFonts w:asciiTheme="majorBidi" w:hAnsiTheme="majorBidi" w:cstheme="majorBidi"/>
          <w:lang w:val="en-US"/>
        </w:rPr>
      </w:pPr>
      <w:r w:rsidRPr="007E2923">
        <w:rPr>
          <w:lang w:val="en-US"/>
        </w:rPr>
        <w:t xml:space="preserve">SAMOC is a </w:t>
      </w:r>
      <w:r w:rsidRPr="007E2923">
        <w:rPr>
          <w:rFonts w:cstheme="majorBidi"/>
          <w:lang w:val="en-US"/>
        </w:rPr>
        <w:t>historical cohort study</w:t>
      </w:r>
      <w:r w:rsidRPr="007E2923">
        <w:rPr>
          <w:lang w:val="en-US"/>
        </w:rPr>
        <w:t xml:space="preserve"> including all patients diagnosed with cancer in </w:t>
      </w:r>
      <w:r w:rsidRPr="007E2923">
        <w:rPr>
          <w:rFonts w:cstheme="majorBidi"/>
          <w:lang w:val="en-US"/>
        </w:rPr>
        <w:t>Monastir governorate (Tunisia) between 2002 and 2014, with follow-up extending to 2022.</w:t>
      </w:r>
    </w:p>
    <w:p w:rsidR="004D4E4E" w:rsidRPr="007E2923" w:rsidRDefault="004D4E4E" w:rsidP="00A22FB3">
      <w:pPr>
        <w:pStyle w:val="NormalWeb"/>
        <w:numPr>
          <w:ilvl w:val="0"/>
          <w:numId w:val="13"/>
        </w:numPr>
        <w:spacing w:before="0" w:beforeAutospacing="0" w:after="0" w:afterAutospacing="0" w:line="480" w:lineRule="auto"/>
        <w:ind w:left="714" w:hanging="357"/>
        <w:jc w:val="both"/>
        <w:rPr>
          <w:rFonts w:asciiTheme="majorBidi" w:hAnsiTheme="majorBidi" w:cstheme="majorBidi"/>
          <w:lang w:val="en-US"/>
        </w:rPr>
      </w:pPr>
      <w:r w:rsidRPr="007E2923">
        <w:rPr>
          <w:rFonts w:asciiTheme="majorBidi" w:hAnsiTheme="majorBidi" w:cstheme="majorBidi"/>
          <w:lang w:val="en-US"/>
        </w:rPr>
        <w:t xml:space="preserve">Tunisia has had three regional cancer registries (North, Center, South) since 1987. The Cancer Registry of tunian center , established in 1987 by Professor Chadli Bouzakoura, documents all cancer cases in central Tunisia, including Monastir. In 1990, Professor Mohamed Soltani, head of Preventive Medicine and Epidemiology, founded the Hospital Morbidity and Mortality Registry, covering all hospital-based morbidity and mortality, including cancer cases at Monastir University Hospital. A collaboration between the Central Cancer Registry and the Hospital Morbidity Registry ensured comprehensive identification and documentation of all cancer cases in the governorate. Between 2002 and 2014, all cancer cases in Monastir were managed exclusively within public health facilities.  Cancer treatment is covered by the national health insurance system in Tunisia. </w:t>
      </w:r>
      <w:r w:rsidRPr="007E2923">
        <w:rPr>
          <w:lang w:val="en-US"/>
        </w:rPr>
        <w:t>Mortality data were obtained in 2023 following authorization from the National Authority for the Protection of Personal Data and the Ministry of Social Affairs. These data were merged with cancer case records, and the vital status (deceased/survivor) was verified. The final dataset was anonymized prior to statistical analysis, while the original database was preserved under coded access to prevent unauthorized use.</w:t>
      </w:r>
    </w:p>
    <w:p w:rsidR="00566508" w:rsidRPr="007E2923" w:rsidRDefault="00566508" w:rsidP="00566508">
      <w:pPr>
        <w:pStyle w:val="NormalWeb"/>
        <w:rPr>
          <w:rFonts w:asciiTheme="majorBidi" w:hAnsiTheme="majorBidi" w:cstheme="majorBidi"/>
          <w:lang w:val="en-US"/>
        </w:rPr>
      </w:pPr>
      <w:r w:rsidRPr="007E2923">
        <w:rPr>
          <w:rStyle w:val="lev"/>
          <w:rFonts w:asciiTheme="majorBidi" w:hAnsiTheme="majorBidi" w:cstheme="majorBidi"/>
          <w:lang w:val="en-US"/>
        </w:rPr>
        <w:t>4.2 Participants</w:t>
      </w:r>
    </w:p>
    <w:p w:rsidR="00066226" w:rsidRPr="007E2923" w:rsidRDefault="00884C52" w:rsidP="00066226">
      <w:pPr>
        <w:pStyle w:val="NormalWeb"/>
        <w:spacing w:before="0" w:beforeAutospacing="0" w:after="0" w:afterAutospacing="0" w:line="480" w:lineRule="auto"/>
        <w:jc w:val="both"/>
        <w:rPr>
          <w:rFonts w:asciiTheme="majorBidi" w:eastAsiaTheme="minorHAnsi" w:hAnsiTheme="majorBidi" w:cstheme="majorBidi"/>
          <w:lang w:val="en-US"/>
        </w:rPr>
      </w:pPr>
      <w:r w:rsidRPr="007E2923">
        <w:rPr>
          <w:rFonts w:asciiTheme="majorBidi" w:eastAsiaTheme="minorHAnsi" w:hAnsiTheme="majorBidi" w:cstheme="majorBidi"/>
          <w:lang w:val="en-US"/>
        </w:rPr>
        <w:t xml:space="preserve">Inclusion Criteria: This study encompassed all </w:t>
      </w:r>
      <w:r w:rsidR="00D86648" w:rsidRPr="007E2923">
        <w:rPr>
          <w:rFonts w:asciiTheme="majorBidi" w:eastAsiaTheme="minorHAnsi" w:hAnsiTheme="majorBidi" w:cstheme="majorBidi"/>
          <w:lang w:val="en-US"/>
        </w:rPr>
        <w:t xml:space="preserve">confirmed </w:t>
      </w:r>
      <w:r w:rsidRPr="007E2923">
        <w:rPr>
          <w:rFonts w:asciiTheme="majorBidi" w:eastAsiaTheme="minorHAnsi" w:hAnsiTheme="majorBidi" w:cstheme="majorBidi"/>
          <w:lang w:val="en-US"/>
        </w:rPr>
        <w:t xml:space="preserve">cases of cancers, diagnosed in patients residing in the governorate of Monastir between 2002 and 2014, including those diagnosed and treated outside the region. </w:t>
      </w:r>
      <w:r w:rsidRPr="007E2923">
        <w:rPr>
          <w:rFonts w:asciiTheme="majorBidi" w:hAnsiTheme="majorBidi" w:cstheme="majorBidi"/>
          <w:lang w:val="en-US"/>
        </w:rPr>
        <w:t>Participant follow-up was ensured through linkage with the Monastir all-cause mortality database, spanning the years 2001 to 2022.</w:t>
      </w:r>
    </w:p>
    <w:p w:rsidR="00566508" w:rsidRPr="007E2923" w:rsidRDefault="00884C52" w:rsidP="00D86648">
      <w:pPr>
        <w:pStyle w:val="NormalWeb"/>
        <w:spacing w:before="0" w:beforeAutospacing="0" w:after="0" w:afterAutospacing="0" w:line="480" w:lineRule="auto"/>
        <w:jc w:val="both"/>
        <w:rPr>
          <w:rFonts w:asciiTheme="majorBidi" w:eastAsiaTheme="minorHAnsi" w:hAnsiTheme="majorBidi" w:cstheme="majorBidi"/>
          <w:lang w:val="en-US"/>
        </w:rPr>
      </w:pPr>
      <w:r w:rsidRPr="007E2923">
        <w:rPr>
          <w:rFonts w:asciiTheme="majorBidi" w:eastAsiaTheme="minorHAnsi" w:hAnsiTheme="majorBidi" w:cstheme="majorBidi"/>
          <w:lang w:val="en-US"/>
        </w:rPr>
        <w:t>Exclusion Criteria: Benign and in situ tumors, tumor recurrences, and the metastatic progression were not included in the study.</w:t>
      </w:r>
      <w:r w:rsidR="00D86648" w:rsidRPr="007E2923">
        <w:rPr>
          <w:rFonts w:asciiTheme="majorBidi" w:eastAsiaTheme="minorHAnsi" w:hAnsiTheme="majorBidi" w:cstheme="majorBidi"/>
          <w:lang w:val="en-US"/>
        </w:rPr>
        <w:t xml:space="preserve"> </w:t>
      </w:r>
    </w:p>
    <w:p w:rsidR="00566508" w:rsidRPr="007E2923" w:rsidRDefault="00566508" w:rsidP="00566508">
      <w:pPr>
        <w:pStyle w:val="NormalWeb"/>
        <w:rPr>
          <w:rStyle w:val="lev"/>
          <w:rFonts w:asciiTheme="majorBidi" w:hAnsiTheme="majorBidi" w:cstheme="majorBidi"/>
          <w:lang w:val="en-US"/>
        </w:rPr>
      </w:pPr>
      <w:r w:rsidRPr="007E2923">
        <w:rPr>
          <w:rStyle w:val="lev"/>
          <w:rFonts w:asciiTheme="majorBidi" w:hAnsiTheme="majorBidi" w:cstheme="majorBidi"/>
          <w:lang w:val="en-US"/>
        </w:rPr>
        <w:t>4.3 Variables collected</w:t>
      </w:r>
    </w:p>
    <w:p w:rsidR="00A22FB3" w:rsidRPr="007E2923" w:rsidRDefault="0077349D" w:rsidP="00B14712">
      <w:pPr>
        <w:pStyle w:val="NormalWeb"/>
        <w:spacing w:before="0" w:beforeAutospacing="0" w:after="0" w:afterAutospacing="0" w:line="480" w:lineRule="auto"/>
        <w:jc w:val="both"/>
        <w:rPr>
          <w:rFonts w:asciiTheme="majorBidi" w:hAnsiTheme="majorBidi" w:cstheme="majorBidi"/>
          <w:lang w:val="en-US"/>
        </w:rPr>
      </w:pPr>
      <w:r w:rsidRPr="007E2923">
        <w:rPr>
          <w:rFonts w:asciiTheme="majorBidi" w:eastAsia="TimesNewRomanPSMT" w:hAnsiTheme="majorBidi" w:cstheme="majorBidi"/>
          <w:color w:val="000000" w:themeColor="text1"/>
          <w:lang w:val="en-US"/>
        </w:rPr>
        <w:t xml:space="preserve">Malignant neoplasms were classified using the ICD-10. </w:t>
      </w:r>
      <w:r w:rsidR="00E91AFC" w:rsidRPr="007E2923">
        <w:rPr>
          <w:rFonts w:asciiTheme="majorBidi" w:eastAsia="TimesNewRomanPSMT" w:hAnsiTheme="majorBidi" w:cstheme="majorBidi"/>
          <w:color w:val="000000" w:themeColor="text1"/>
          <w:lang w:val="en-US"/>
        </w:rPr>
        <w:t>T</w:t>
      </w:r>
      <w:r w:rsidRPr="007E2923">
        <w:rPr>
          <w:rFonts w:asciiTheme="majorBidi" w:eastAsia="TimesNewRomanPSMT" w:hAnsiTheme="majorBidi" w:cstheme="majorBidi"/>
          <w:color w:val="000000" w:themeColor="text1"/>
          <w:lang w:val="en-US"/>
        </w:rPr>
        <w:t xml:space="preserve">he dataset included key variables such as </w:t>
      </w:r>
      <w:r w:rsidR="00FF514A" w:rsidRPr="007E2923">
        <w:rPr>
          <w:rFonts w:asciiTheme="majorBidi" w:eastAsia="TimesNewRomanPSMT" w:hAnsiTheme="majorBidi" w:cstheme="majorBidi"/>
          <w:color w:val="000000" w:themeColor="text1"/>
          <w:lang w:val="en-US"/>
        </w:rPr>
        <w:t xml:space="preserve">sexe, </w:t>
      </w:r>
      <w:r w:rsidRPr="007E2923">
        <w:rPr>
          <w:rFonts w:asciiTheme="majorBidi" w:eastAsia="TimesNewRomanPSMT" w:hAnsiTheme="majorBidi" w:cstheme="majorBidi"/>
          <w:color w:val="000000" w:themeColor="text1"/>
          <w:lang w:val="en-US"/>
        </w:rPr>
        <w:t>date of birth, year of diagnosis, cancer topography and morphology, the status (deaths, survival) and the year of death.</w:t>
      </w:r>
      <w:r w:rsidR="00C21FA2" w:rsidRPr="007E2923">
        <w:rPr>
          <w:rFonts w:asciiTheme="majorBidi" w:eastAsia="TimesNewRomanPSMT" w:hAnsiTheme="majorBidi" w:cstheme="majorBidi"/>
          <w:color w:val="000000" w:themeColor="text1"/>
          <w:lang w:val="en-US"/>
        </w:rPr>
        <w:t xml:space="preserve"> </w:t>
      </w:r>
      <w:r w:rsidR="00C21FA2" w:rsidRPr="007E2923">
        <w:rPr>
          <w:bCs/>
          <w:lang w:val="en-US"/>
        </w:rPr>
        <w:t xml:space="preserve">Version 2008, cancer sites were classified as follows </w:t>
      </w:r>
      <w:r w:rsidR="00C21FA2" w:rsidRPr="007E2923">
        <w:rPr>
          <w:lang w:val="en-US"/>
        </w:rPr>
        <w:t>(</w:t>
      </w:r>
      <w:r w:rsidR="00B14712" w:rsidRPr="007E2923">
        <w:rPr>
          <w:lang w:val="en-US"/>
        </w:rPr>
        <w:t>6</w:t>
      </w:r>
      <w:r w:rsidR="00C21FA2" w:rsidRPr="007E2923">
        <w:rPr>
          <w:lang w:val="en-US"/>
        </w:rPr>
        <w:t>)</w:t>
      </w:r>
      <w:r w:rsidR="00C21FA2" w:rsidRPr="007E2923">
        <w:rPr>
          <w:bCs/>
          <w:lang w:val="en-US"/>
        </w:rPr>
        <w:t xml:space="preserve">: </w:t>
      </w:r>
      <w:hyperlink r:id="rId8" w:anchor="/C00-C14" w:tooltip="Malignant neoplasms of lip, oral cavity and pharynx" w:history="1">
        <w:r w:rsidR="00C21FA2" w:rsidRPr="007E2923">
          <w:rPr>
            <w:rStyle w:val="Lienhypertexte"/>
            <w:bCs/>
            <w:color w:val="auto"/>
            <w:u w:val="none"/>
            <w:lang w:val="en-US"/>
          </w:rPr>
          <w:t>C00-C14</w:t>
        </w:r>
      </w:hyperlink>
      <w:r w:rsidR="00C21FA2" w:rsidRPr="007E2923">
        <w:rPr>
          <w:bCs/>
          <w:lang w:val="en-US"/>
        </w:rPr>
        <w:t xml:space="preserve">: Malignant neoplasms of lip, oral cavity and pharynx, </w:t>
      </w:r>
      <w:hyperlink r:id="rId9" w:anchor="/C15-C26" w:tooltip="Malignant neoplasms of digestive organs" w:history="1">
        <w:r w:rsidR="00C21FA2" w:rsidRPr="007E2923">
          <w:rPr>
            <w:rStyle w:val="Lienhypertexte"/>
            <w:bCs/>
            <w:color w:val="auto"/>
            <w:u w:val="none"/>
            <w:lang w:val="en-US"/>
          </w:rPr>
          <w:t>C15-C26</w:t>
        </w:r>
      </w:hyperlink>
      <w:r w:rsidR="00C21FA2" w:rsidRPr="007E2923">
        <w:rPr>
          <w:bCs/>
          <w:lang w:val="en-US"/>
        </w:rPr>
        <w:t xml:space="preserve">: Malignant neoplasms of digestive organs, </w:t>
      </w:r>
      <w:hyperlink r:id="rId10" w:anchor="/C30-C39" w:tooltip="Malignant neoplasms of respiratory and intrathoracic organs" w:history="1">
        <w:r w:rsidR="00C21FA2" w:rsidRPr="007E2923">
          <w:rPr>
            <w:rStyle w:val="Lienhypertexte"/>
            <w:bCs/>
            <w:color w:val="auto"/>
            <w:u w:val="none"/>
            <w:lang w:val="en-US"/>
          </w:rPr>
          <w:t>C30-C39</w:t>
        </w:r>
      </w:hyperlink>
      <w:r w:rsidR="00C21FA2" w:rsidRPr="007E2923">
        <w:rPr>
          <w:bCs/>
          <w:lang w:val="en-US"/>
        </w:rPr>
        <w:t xml:space="preserve">: Malignant neoplasms of respiratory and intrathoracic organs, C40-C41: Malignant neoplasms of bone and articular cartilage, </w:t>
      </w:r>
      <w:hyperlink r:id="rId11" w:anchor="/C43-C44" w:tooltip="Melanoma and other malignant neoplasms of skin" w:history="1">
        <w:r w:rsidR="00C21FA2" w:rsidRPr="007E2923">
          <w:rPr>
            <w:rStyle w:val="Lienhypertexte"/>
            <w:bCs/>
            <w:color w:val="auto"/>
            <w:u w:val="none"/>
            <w:lang w:val="en-US"/>
          </w:rPr>
          <w:t>C43-C44</w:t>
        </w:r>
      </w:hyperlink>
      <w:r w:rsidR="00C21FA2" w:rsidRPr="007E2923">
        <w:rPr>
          <w:bCs/>
          <w:lang w:val="en-US"/>
        </w:rPr>
        <w:t xml:space="preserve">: Melanoma and other malignant neoplasms of skin, </w:t>
      </w:r>
      <w:hyperlink r:id="rId12" w:anchor="/C45-C49" w:tooltip="Malignant neoplasms of mesothelial and soft tissue" w:history="1">
        <w:r w:rsidR="00C21FA2" w:rsidRPr="007E2923">
          <w:rPr>
            <w:rStyle w:val="Lienhypertexte"/>
            <w:bCs/>
            <w:color w:val="auto"/>
            <w:u w:val="none"/>
            <w:lang w:val="en-US"/>
          </w:rPr>
          <w:t>C45-C49</w:t>
        </w:r>
      </w:hyperlink>
      <w:r w:rsidR="00C21FA2" w:rsidRPr="007E2923">
        <w:rPr>
          <w:bCs/>
          <w:lang w:val="en-US"/>
        </w:rPr>
        <w:t xml:space="preserve">:Malignant neoplasms of mesothelial and soft tissue, </w:t>
      </w:r>
      <w:hyperlink r:id="rId13" w:anchor="/C50-C50" w:tooltip="Malignant neoplasm of breast" w:history="1">
        <w:r w:rsidR="00C21FA2" w:rsidRPr="007E2923">
          <w:rPr>
            <w:rStyle w:val="Lienhypertexte"/>
            <w:bCs/>
            <w:color w:val="auto"/>
            <w:u w:val="none"/>
            <w:lang w:val="en-US"/>
          </w:rPr>
          <w:t>C50-C50</w:t>
        </w:r>
      </w:hyperlink>
      <w:r w:rsidR="00C21FA2" w:rsidRPr="007E2923">
        <w:rPr>
          <w:bCs/>
          <w:lang w:val="en-US"/>
        </w:rPr>
        <w:t xml:space="preserve">: Malignant neoplasm of breast, </w:t>
      </w:r>
      <w:hyperlink r:id="rId14" w:anchor="/C51-C58" w:tooltip="Malignant neoplasms of female genital organs" w:history="1">
        <w:r w:rsidR="00C21FA2" w:rsidRPr="007E2923">
          <w:rPr>
            <w:rStyle w:val="Lienhypertexte"/>
            <w:bCs/>
            <w:color w:val="auto"/>
            <w:u w:val="none"/>
            <w:lang w:val="en-US"/>
          </w:rPr>
          <w:t>C51-C58</w:t>
        </w:r>
      </w:hyperlink>
      <w:r w:rsidR="00C21FA2" w:rsidRPr="007E2923">
        <w:rPr>
          <w:bCs/>
          <w:lang w:val="en-US"/>
        </w:rPr>
        <w:t xml:space="preserve">: Malignant neoplasms of female genital organs, </w:t>
      </w:r>
      <w:hyperlink r:id="rId15" w:anchor="/C60-C63" w:tooltip="Malignant neoplasms of male genital organs" w:history="1">
        <w:r w:rsidR="00C21FA2" w:rsidRPr="007E2923">
          <w:rPr>
            <w:rStyle w:val="Lienhypertexte"/>
            <w:bCs/>
            <w:color w:val="auto"/>
            <w:u w:val="none"/>
            <w:lang w:val="en-US"/>
          </w:rPr>
          <w:t>C60-C63</w:t>
        </w:r>
      </w:hyperlink>
      <w:r w:rsidR="00C21FA2" w:rsidRPr="007E2923">
        <w:rPr>
          <w:bCs/>
          <w:lang w:val="en-US"/>
        </w:rPr>
        <w:t xml:space="preserve">: Malignant neoplasms of male genital organs, </w:t>
      </w:r>
      <w:hyperlink r:id="rId16" w:anchor="/C64-C68" w:tooltip="Malignant neoplasms of urinary tract" w:history="1">
        <w:r w:rsidR="00C21FA2" w:rsidRPr="007E2923">
          <w:rPr>
            <w:rStyle w:val="Lienhypertexte"/>
            <w:bCs/>
            <w:color w:val="auto"/>
            <w:u w:val="none"/>
            <w:lang w:val="en-US"/>
          </w:rPr>
          <w:t>C64-C68</w:t>
        </w:r>
      </w:hyperlink>
      <w:r w:rsidR="00C21FA2" w:rsidRPr="007E2923">
        <w:rPr>
          <w:bCs/>
          <w:lang w:val="en-US"/>
        </w:rPr>
        <w:t xml:space="preserve">: Malignant neoplasms of urinary tract, </w:t>
      </w:r>
      <w:hyperlink r:id="rId17" w:anchor="/C69-C72" w:tooltip="Malignant neoplasms of eye, brain and other parts of central nervous system" w:history="1">
        <w:r w:rsidR="00C21FA2" w:rsidRPr="007E2923">
          <w:rPr>
            <w:rStyle w:val="Lienhypertexte"/>
            <w:bCs/>
            <w:color w:val="auto"/>
            <w:u w:val="none"/>
            <w:lang w:val="en-US"/>
          </w:rPr>
          <w:t>C69-C72</w:t>
        </w:r>
      </w:hyperlink>
      <w:r w:rsidR="00C21FA2" w:rsidRPr="007E2923">
        <w:rPr>
          <w:bCs/>
          <w:lang w:val="en-US"/>
        </w:rPr>
        <w:t xml:space="preserve">: Malignant neoplasms of eye, brain and other parts of central nervous system, </w:t>
      </w:r>
      <w:hyperlink r:id="rId18" w:anchor="/C73-C75" w:tooltip="Malignant neoplasms of thyroid and other endocrine glands" w:history="1">
        <w:r w:rsidR="00C21FA2" w:rsidRPr="007E2923">
          <w:rPr>
            <w:rStyle w:val="Lienhypertexte"/>
            <w:bCs/>
            <w:color w:val="auto"/>
            <w:u w:val="none"/>
            <w:lang w:val="en-US"/>
          </w:rPr>
          <w:t>C73-C75</w:t>
        </w:r>
      </w:hyperlink>
      <w:r w:rsidR="00C21FA2" w:rsidRPr="007E2923">
        <w:rPr>
          <w:bCs/>
          <w:lang w:val="en-US"/>
        </w:rPr>
        <w:t>: Malignant neoplasms of thyroid and other endocrine glands.</w:t>
      </w:r>
    </w:p>
    <w:p w:rsidR="00566508" w:rsidRPr="007E2923" w:rsidRDefault="00566508" w:rsidP="00566508">
      <w:pPr>
        <w:pStyle w:val="NormalWeb"/>
        <w:rPr>
          <w:rFonts w:asciiTheme="majorBidi" w:hAnsiTheme="majorBidi" w:cstheme="majorBidi"/>
          <w:lang w:val="en-US"/>
        </w:rPr>
      </w:pPr>
      <w:r w:rsidRPr="007E2923">
        <w:rPr>
          <w:rStyle w:val="lev"/>
          <w:rFonts w:asciiTheme="majorBidi" w:hAnsiTheme="majorBidi" w:cstheme="majorBidi"/>
          <w:lang w:val="en-US"/>
        </w:rPr>
        <w:t>4.4 Data sources</w:t>
      </w:r>
    </w:p>
    <w:p w:rsidR="00B8097E" w:rsidRPr="007E2923" w:rsidRDefault="00B8097E" w:rsidP="00B8097E">
      <w:pPr>
        <w:pStyle w:val="NormalWeb"/>
        <w:spacing w:before="0" w:beforeAutospacing="0" w:after="0" w:afterAutospacing="0" w:line="480" w:lineRule="auto"/>
        <w:jc w:val="both"/>
        <w:rPr>
          <w:rFonts w:asciiTheme="majorBidi" w:hAnsiTheme="majorBidi" w:cstheme="majorBidi"/>
          <w:lang w:val="en-US"/>
        </w:rPr>
      </w:pPr>
      <w:r w:rsidRPr="007E2923">
        <w:rPr>
          <w:rFonts w:asciiTheme="majorBidi" w:hAnsiTheme="majorBidi" w:cstheme="majorBidi"/>
          <w:lang w:val="en-US"/>
        </w:rPr>
        <w:t>Data on confirmed cancer cases, histological diagnosed between 2002 and 2014 were prospectively collected by merging the hospital morbidity registry data and the regional cancer registry of the Center. In December 2019, the team from the Department of Epidemiology and Preventive Medicine of Monastir completed the verification of data conformity.</w:t>
      </w:r>
    </w:p>
    <w:p w:rsidR="00B8097E" w:rsidRPr="007E2923" w:rsidRDefault="00B8097E" w:rsidP="00867763">
      <w:pPr>
        <w:pStyle w:val="NormalWeb"/>
        <w:spacing w:before="0" w:beforeAutospacing="0" w:after="0" w:afterAutospacing="0" w:line="480" w:lineRule="auto"/>
        <w:jc w:val="both"/>
        <w:rPr>
          <w:rFonts w:asciiTheme="majorBidi" w:hAnsiTheme="majorBidi" w:cstheme="majorBidi"/>
          <w:lang w:val="en-US"/>
        </w:rPr>
      </w:pPr>
      <w:r w:rsidRPr="007E2923">
        <w:rPr>
          <w:rFonts w:asciiTheme="majorBidi" w:hAnsiTheme="majorBidi" w:cstheme="majorBidi"/>
          <w:lang w:val="en-US"/>
        </w:rPr>
        <w:t>Next, deaths among these cases and their dates were ascertained using multiple sources: the hospital death database and the Ministry of Social Affairs mortality database, covering all deaths in Monastir from 2001 to 2022. The study protocol was approved by the Ethics Committee of the Faculty of Medicine of Monastir in January 2022, with access to the mortality database authorized in May 2022 by the National Authority for the Protection of Personal Data. The dataset included 60,280 deaths registered in Monastir between January 1, 2002, and January 26, 2023 (accessed February 2023). For unresolved cases, a name-by-name check was conducted in the municipal death registry, which systematically records all deaths in Tunisia (</w:t>
      </w:r>
      <w:r w:rsidR="00867763" w:rsidRPr="007E2923">
        <w:rPr>
          <w:lang w:val="en-US"/>
        </w:rPr>
        <w:t>Figure 1</w:t>
      </w:r>
      <w:r w:rsidRPr="007E2923">
        <w:rPr>
          <w:rFonts w:asciiTheme="majorBidi" w:hAnsiTheme="majorBidi" w:cstheme="majorBidi"/>
          <w:lang w:val="en-US"/>
        </w:rPr>
        <w:t>)</w:t>
      </w:r>
      <w:r w:rsidR="00DF6777" w:rsidRPr="007E2923">
        <w:rPr>
          <w:rFonts w:asciiTheme="majorBidi" w:hAnsiTheme="majorBidi" w:cstheme="majorBidi"/>
          <w:lang w:val="en-US"/>
        </w:rPr>
        <w:t>.</w:t>
      </w:r>
    </w:p>
    <w:p w:rsidR="00DF6777" w:rsidRPr="007E2923" w:rsidRDefault="001E0CE1" w:rsidP="00867763">
      <w:pPr>
        <w:pStyle w:val="NormalWeb"/>
        <w:spacing w:before="0" w:beforeAutospacing="0" w:after="0" w:afterAutospacing="0" w:line="480" w:lineRule="auto"/>
        <w:jc w:val="both"/>
        <w:rPr>
          <w:rFonts w:asciiTheme="majorBidi" w:hAnsiTheme="majorBidi" w:cstheme="majorBidi"/>
          <w:lang w:val="en-US"/>
        </w:rPr>
      </w:pPr>
      <w:r w:rsidRPr="007E2923">
        <w:rPr>
          <w:rFonts w:asciiTheme="majorBidi" w:hAnsiTheme="majorBidi" w:cstheme="majorBidi"/>
          <w:noProof/>
          <w:lang w:val="en-US" w:eastAsia="en-US"/>
        </w:rPr>
        <w:drawing>
          <wp:inline distT="0" distB="0" distL="0" distR="0">
            <wp:extent cx="5760720" cy="330327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pendix_2300.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20" cy="3303270"/>
                    </a:xfrm>
                    <a:prstGeom prst="rect">
                      <a:avLst/>
                    </a:prstGeom>
                  </pic:spPr>
                </pic:pic>
              </a:graphicData>
            </a:graphic>
          </wp:inline>
        </w:drawing>
      </w:r>
    </w:p>
    <w:p w:rsidR="00566508" w:rsidRPr="007E2923" w:rsidRDefault="00566508" w:rsidP="00405E86">
      <w:pPr>
        <w:pStyle w:val="NormalWeb"/>
        <w:spacing w:before="0" w:beforeAutospacing="0" w:after="0" w:afterAutospacing="0" w:line="480" w:lineRule="auto"/>
        <w:jc w:val="both"/>
        <w:rPr>
          <w:rFonts w:asciiTheme="majorBidi" w:hAnsiTheme="majorBidi" w:cstheme="majorBidi"/>
          <w:lang w:val="en-US"/>
        </w:rPr>
      </w:pPr>
      <w:r w:rsidRPr="007E2923">
        <w:rPr>
          <w:rStyle w:val="lev"/>
          <w:rFonts w:asciiTheme="majorBidi" w:hAnsiTheme="majorBidi" w:cstheme="majorBidi"/>
          <w:lang w:val="en-US"/>
        </w:rPr>
        <w:t>4.5 Data management steps (workflow)</w:t>
      </w:r>
    </w:p>
    <w:p w:rsidR="00405E86" w:rsidRPr="007E2923" w:rsidRDefault="00405E86" w:rsidP="00867763">
      <w:pPr>
        <w:pStyle w:val="NormalWeb"/>
        <w:spacing w:before="0" w:beforeAutospacing="0" w:after="0" w:afterAutospacing="0" w:line="480" w:lineRule="auto"/>
        <w:jc w:val="both"/>
        <w:rPr>
          <w:lang w:val="en-US"/>
        </w:rPr>
      </w:pPr>
      <w:r w:rsidRPr="007E2923">
        <w:rPr>
          <w:lang w:val="en-US"/>
        </w:rPr>
        <w:t xml:space="preserve">Data collection and validation were finalized in 2023 through a structured, multi-step process (Figures </w:t>
      </w:r>
      <w:r w:rsidR="00867763" w:rsidRPr="007E2923">
        <w:rPr>
          <w:lang w:val="en-US"/>
        </w:rPr>
        <w:t>2-3</w:t>
      </w:r>
      <w:r w:rsidRPr="007E2923">
        <w:rPr>
          <w:lang w:val="en-US"/>
        </w:rPr>
        <w:t>).</w:t>
      </w:r>
    </w:p>
    <w:p w:rsidR="00405E86" w:rsidRPr="007E2923" w:rsidRDefault="00405E86" w:rsidP="00405E86">
      <w:pPr>
        <w:pStyle w:val="NormalWeb"/>
        <w:spacing w:before="0" w:beforeAutospacing="0" w:after="0" w:afterAutospacing="0" w:line="480" w:lineRule="auto"/>
        <w:jc w:val="both"/>
        <w:rPr>
          <w:rStyle w:val="lev"/>
          <w:lang w:val="en-US"/>
        </w:rPr>
      </w:pPr>
      <w:r w:rsidRPr="007E2923">
        <w:rPr>
          <w:rStyle w:val="lev"/>
          <w:lang w:val="en-US"/>
        </w:rPr>
        <w:t>Patient identification (Databases 1–2):</w:t>
      </w:r>
    </w:p>
    <w:p w:rsidR="00405E86" w:rsidRPr="007E2923" w:rsidRDefault="00405E86" w:rsidP="00405E86">
      <w:pPr>
        <w:pStyle w:val="NormalWeb"/>
        <w:spacing w:before="0" w:beforeAutospacing="0" w:after="0" w:afterAutospacing="0" w:line="480" w:lineRule="auto"/>
        <w:jc w:val="both"/>
        <w:rPr>
          <w:lang w:val="en-US"/>
        </w:rPr>
      </w:pPr>
      <w:r w:rsidRPr="007E2923">
        <w:rPr>
          <w:lang w:val="en-US"/>
        </w:rPr>
        <w:t>Patients diagnosed with cancer between 2002 and 2014 in the governorate of Monastir were first identified from the Regional Register of Hospital Morbidity and from hospital departments. Additional cases were retrieved from the Cancer Registry of the Center of Tunisia to capture patients who had consulted outside the region. All records were verified with pathology departments before integration.</w:t>
      </w:r>
    </w:p>
    <w:p w:rsidR="00405E86" w:rsidRPr="007E2923" w:rsidRDefault="00405E86" w:rsidP="00405E86">
      <w:pPr>
        <w:pStyle w:val="NormalWeb"/>
        <w:spacing w:before="0" w:beforeAutospacing="0" w:after="0" w:afterAutospacing="0" w:line="480" w:lineRule="auto"/>
        <w:jc w:val="both"/>
        <w:rPr>
          <w:rStyle w:val="lev"/>
          <w:lang w:val="en-US"/>
        </w:rPr>
      </w:pPr>
      <w:r w:rsidRPr="007E2923">
        <w:rPr>
          <w:rStyle w:val="lev"/>
          <w:lang w:val="en-US"/>
        </w:rPr>
        <w:t>Data completion:</w:t>
      </w:r>
    </w:p>
    <w:p w:rsidR="00405E86" w:rsidRPr="007E2923" w:rsidRDefault="00405E86" w:rsidP="00405E86">
      <w:pPr>
        <w:pStyle w:val="NormalWeb"/>
        <w:spacing w:before="0" w:beforeAutospacing="0" w:after="0" w:afterAutospacing="0" w:line="480" w:lineRule="auto"/>
        <w:jc w:val="both"/>
        <w:rPr>
          <w:lang w:val="en-US"/>
        </w:rPr>
      </w:pPr>
      <w:r w:rsidRPr="007E2923">
        <w:rPr>
          <w:lang w:val="en-US"/>
        </w:rPr>
        <w:t>A major effort was undertaken to recover missing information. Identifiers such as names, dates of birth, and parental surnames were meticulously extracted from the hospital admission and index registries. Duplicates were systematically detected and removed, keeping only the earliest validated diagnosis of cancer.</w:t>
      </w:r>
    </w:p>
    <w:p w:rsidR="00405E86" w:rsidRPr="007E2923" w:rsidRDefault="00405E86" w:rsidP="00405E86">
      <w:pPr>
        <w:pStyle w:val="NormalWeb"/>
        <w:spacing w:before="0" w:beforeAutospacing="0" w:after="0" w:afterAutospacing="0" w:line="480" w:lineRule="auto"/>
        <w:jc w:val="both"/>
        <w:rPr>
          <w:rStyle w:val="lev"/>
          <w:lang w:val="en-US"/>
        </w:rPr>
      </w:pPr>
      <w:r w:rsidRPr="007E2923">
        <w:rPr>
          <w:rStyle w:val="lev"/>
          <w:lang w:val="en-US"/>
        </w:rPr>
        <w:t>Database integration (Database 3):</w:t>
      </w:r>
    </w:p>
    <w:p w:rsidR="00405E86" w:rsidRPr="007E2923" w:rsidRDefault="00405E86" w:rsidP="00405E86">
      <w:pPr>
        <w:pStyle w:val="NormalWeb"/>
        <w:spacing w:before="0" w:beforeAutospacing="0" w:after="0" w:afterAutospacing="0" w:line="480" w:lineRule="auto"/>
        <w:jc w:val="both"/>
        <w:rPr>
          <w:lang w:val="en-US"/>
        </w:rPr>
      </w:pPr>
      <w:r w:rsidRPr="007E2923">
        <w:rPr>
          <w:lang w:val="en-US"/>
        </w:rPr>
        <w:t>The datasets from the different sources were then merged into a master database. Records with incomplete cancer site or missing diagnosis dates were excluded (&lt;1%).</w:t>
      </w:r>
    </w:p>
    <w:p w:rsidR="00405E86" w:rsidRPr="007E2923" w:rsidRDefault="00405E86" w:rsidP="00405E86">
      <w:pPr>
        <w:pStyle w:val="NormalWeb"/>
        <w:spacing w:before="0" w:beforeAutospacing="0" w:after="0" w:afterAutospacing="0" w:line="480" w:lineRule="auto"/>
        <w:jc w:val="both"/>
        <w:rPr>
          <w:rStyle w:val="lev"/>
          <w:lang w:val="en-US"/>
        </w:rPr>
      </w:pPr>
      <w:r w:rsidRPr="007E2923">
        <w:rPr>
          <w:rStyle w:val="lev"/>
          <w:lang w:val="en-US"/>
        </w:rPr>
        <w:t>Vital status ascertainment (Databases 4–8):</w:t>
      </w:r>
    </w:p>
    <w:p w:rsidR="00405E86" w:rsidRPr="007E2923" w:rsidRDefault="00405E86" w:rsidP="00405E86">
      <w:pPr>
        <w:pStyle w:val="NormalWeb"/>
        <w:spacing w:before="0" w:beforeAutospacing="0" w:after="0" w:afterAutospacing="0" w:line="480" w:lineRule="auto"/>
        <w:jc w:val="both"/>
        <w:rPr>
          <w:lang w:val="en-US"/>
        </w:rPr>
      </w:pPr>
      <w:r w:rsidRPr="007E2923">
        <w:rPr>
          <w:lang w:val="en-US"/>
        </w:rPr>
        <w:t>Vital status was determined in two stages. First, in-hospital deaths were identified through hospital discharge registers. Second, deaths occurring outside hospitals were collected from municipal records in collaboration with the Ministry of Social Affairs and the National Informatics Center. Records from these multiple sources were matched and reconciled. Cases with uncertain matches were rechecked using the national mortality file, and each patient was ultimately classified as either deceased (code 1) or alive (code 0).</w:t>
      </w:r>
    </w:p>
    <w:p w:rsidR="00C9279F" w:rsidRPr="007E2923" w:rsidRDefault="00405E86" w:rsidP="00405E86">
      <w:pPr>
        <w:pStyle w:val="NormalWeb"/>
        <w:spacing w:before="0" w:beforeAutospacing="0" w:after="0" w:afterAutospacing="0" w:line="480" w:lineRule="auto"/>
        <w:jc w:val="both"/>
        <w:rPr>
          <w:rStyle w:val="lev"/>
          <w:lang w:val="en-US"/>
        </w:rPr>
      </w:pPr>
      <w:r w:rsidRPr="007E2923">
        <w:rPr>
          <w:rStyle w:val="lev"/>
          <w:lang w:val="en-US"/>
        </w:rPr>
        <w:t>Anonymization and security:</w:t>
      </w:r>
    </w:p>
    <w:p w:rsidR="00405E86" w:rsidRPr="007E2923" w:rsidRDefault="00405E86" w:rsidP="00405E86">
      <w:pPr>
        <w:pStyle w:val="NormalWeb"/>
        <w:spacing w:before="0" w:beforeAutospacing="0" w:after="0" w:afterAutospacing="0" w:line="480" w:lineRule="auto"/>
        <w:jc w:val="both"/>
        <w:rPr>
          <w:lang w:val="en-US"/>
        </w:rPr>
      </w:pPr>
      <w:r w:rsidRPr="007E2923">
        <w:rPr>
          <w:lang w:val="en-US"/>
        </w:rPr>
        <w:t>The final working dataset (Database 8) was anonymized prior to statistical analysis. The original file containing personal identifiers was securely stored with restricted coded access to prevent unauthorized use.</w:t>
      </w:r>
    </w:p>
    <w:p w:rsidR="00867763" w:rsidRPr="007E2923" w:rsidRDefault="00867763" w:rsidP="00405E86">
      <w:pPr>
        <w:pStyle w:val="NormalWeb"/>
        <w:spacing w:before="0" w:beforeAutospacing="0" w:after="0" w:afterAutospacing="0" w:line="480" w:lineRule="auto"/>
        <w:jc w:val="both"/>
        <w:rPr>
          <w:lang w:val="en-US"/>
        </w:rPr>
      </w:pPr>
    </w:p>
    <w:p w:rsidR="00867763" w:rsidRPr="007E2923" w:rsidRDefault="00867763" w:rsidP="00405E86">
      <w:pPr>
        <w:pStyle w:val="NormalWeb"/>
        <w:spacing w:before="0" w:beforeAutospacing="0" w:after="0" w:afterAutospacing="0" w:line="480" w:lineRule="auto"/>
        <w:jc w:val="both"/>
        <w:rPr>
          <w:lang w:val="en-US"/>
        </w:rPr>
      </w:pPr>
      <w:r w:rsidRPr="007E2923">
        <w:rPr>
          <w:rFonts w:asciiTheme="majorBidi" w:hAnsiTheme="majorBidi" w:cstheme="majorBidi"/>
          <w:b/>
          <w:bCs/>
          <w:noProof/>
          <w:lang w:val="en-US" w:eastAsia="en-US"/>
        </w:rPr>
        <w:drawing>
          <wp:inline distT="0" distB="0" distL="0" distR="0" wp14:anchorId="056562DA" wp14:editId="1D8DF022">
            <wp:extent cx="5760720" cy="803778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11.png"/>
                    <pic:cNvPicPr/>
                  </pic:nvPicPr>
                  <pic:blipFill>
                    <a:blip r:embed="rId20">
                      <a:extLst>
                        <a:ext uri="{28A0092B-C50C-407E-A947-70E740481C1C}">
                          <a14:useLocalDpi xmlns:a14="http://schemas.microsoft.com/office/drawing/2010/main" val="0"/>
                        </a:ext>
                      </a:extLst>
                    </a:blip>
                    <a:stretch>
                      <a:fillRect/>
                    </a:stretch>
                  </pic:blipFill>
                  <pic:spPr>
                    <a:xfrm>
                      <a:off x="0" y="0"/>
                      <a:ext cx="5760720" cy="8037780"/>
                    </a:xfrm>
                    <a:prstGeom prst="rect">
                      <a:avLst/>
                    </a:prstGeom>
                  </pic:spPr>
                </pic:pic>
              </a:graphicData>
            </a:graphic>
          </wp:inline>
        </w:drawing>
      </w:r>
    </w:p>
    <w:p w:rsidR="004C71F5" w:rsidRPr="007E2923" w:rsidRDefault="004C71F5" w:rsidP="004C71F5">
      <w:pPr>
        <w:spacing w:after="300" w:line="240" w:lineRule="auto"/>
        <w:ind w:left="720"/>
        <w:contextualSpacing/>
        <w:jc w:val="center"/>
        <w:rPr>
          <w:rFonts w:asciiTheme="majorBidi" w:eastAsia="Times New Roman" w:hAnsiTheme="majorBidi" w:cstheme="majorBidi"/>
          <w:bCs/>
          <w:sz w:val="24"/>
          <w:szCs w:val="24"/>
          <w:lang w:val="en-US" w:eastAsia="fr-FR"/>
        </w:rPr>
      </w:pPr>
      <w:r w:rsidRPr="007E2923">
        <w:rPr>
          <w:rFonts w:asciiTheme="majorBidi" w:eastAsia="Times New Roman" w:hAnsiTheme="majorBidi" w:cstheme="majorBidi"/>
          <w:b/>
          <w:bCs/>
          <w:sz w:val="24"/>
          <w:szCs w:val="24"/>
          <w:lang w:val="en-US" w:eastAsia="fr-FR"/>
        </w:rPr>
        <w:t>Figure 1</w:t>
      </w:r>
      <w:r w:rsidRPr="007E2923">
        <w:rPr>
          <w:rFonts w:asciiTheme="majorBidi" w:eastAsia="Times New Roman" w:hAnsiTheme="majorBidi" w:cstheme="majorBidi"/>
          <w:sz w:val="24"/>
          <w:szCs w:val="24"/>
          <w:lang w:val="en-US" w:eastAsia="fr-FR"/>
        </w:rPr>
        <w:t>: Step-by-step flow chart describing</w:t>
      </w:r>
      <w:r w:rsidRPr="007E2923">
        <w:rPr>
          <w:rFonts w:asciiTheme="majorBidi" w:hAnsiTheme="majorBidi" w:cstheme="majorBidi"/>
          <w:sz w:val="24"/>
          <w:szCs w:val="24"/>
          <w:lang w:val="en-US"/>
        </w:rPr>
        <w:t xml:space="preserve"> the </w:t>
      </w:r>
      <w:r w:rsidRPr="007E2923">
        <w:rPr>
          <w:rFonts w:asciiTheme="majorBidi" w:eastAsia="Times New Roman" w:hAnsiTheme="majorBidi" w:cstheme="majorBidi"/>
          <w:sz w:val="24"/>
          <w:szCs w:val="24"/>
          <w:lang w:val="en-US" w:eastAsia="fr-FR"/>
        </w:rPr>
        <w:t xml:space="preserve">methods of the exaustive research of cancer cases in a </w:t>
      </w:r>
      <w:r w:rsidRPr="007E2923">
        <w:rPr>
          <w:rFonts w:asciiTheme="majorBidi" w:eastAsia="Times New Roman" w:hAnsiTheme="majorBidi" w:cstheme="majorBidi"/>
          <w:bCs/>
          <w:sz w:val="24"/>
          <w:szCs w:val="24"/>
          <w:lang w:val="en-US" w:eastAsia="fr-FR"/>
        </w:rPr>
        <w:t>Tunisian governorate, 2002-2014</w:t>
      </w:r>
    </w:p>
    <w:p w:rsidR="00867763" w:rsidRPr="007E2923" w:rsidRDefault="00867763" w:rsidP="00405E86">
      <w:pPr>
        <w:pStyle w:val="NormalWeb"/>
        <w:spacing w:before="0" w:beforeAutospacing="0" w:after="0" w:afterAutospacing="0" w:line="480" w:lineRule="auto"/>
        <w:jc w:val="both"/>
        <w:rPr>
          <w:lang w:val="en-US"/>
        </w:rPr>
      </w:pPr>
    </w:p>
    <w:p w:rsidR="00867763" w:rsidRPr="007E2923" w:rsidRDefault="00867763" w:rsidP="00405E86">
      <w:pPr>
        <w:pStyle w:val="NormalWeb"/>
        <w:spacing w:before="0" w:beforeAutospacing="0" w:after="0" w:afterAutospacing="0" w:line="480" w:lineRule="auto"/>
        <w:jc w:val="both"/>
        <w:rPr>
          <w:lang w:val="en-US"/>
        </w:rPr>
      </w:pPr>
    </w:p>
    <w:p w:rsidR="00867763" w:rsidRPr="007E2923" w:rsidRDefault="00867763" w:rsidP="00405E86">
      <w:pPr>
        <w:pStyle w:val="NormalWeb"/>
        <w:spacing w:before="0" w:beforeAutospacing="0" w:after="0" w:afterAutospacing="0" w:line="480" w:lineRule="auto"/>
        <w:jc w:val="both"/>
        <w:rPr>
          <w:lang w:val="en-US"/>
        </w:rPr>
      </w:pPr>
      <w:r w:rsidRPr="007E2923">
        <w:rPr>
          <w:rFonts w:asciiTheme="majorBidi" w:hAnsiTheme="majorBidi" w:cstheme="majorBidi"/>
          <w:bCs/>
          <w:noProof/>
          <w:sz w:val="20"/>
          <w:szCs w:val="20"/>
          <w:lang w:val="en-US" w:eastAsia="en-US"/>
        </w:rPr>
        <w:drawing>
          <wp:inline distT="0" distB="0" distL="0" distR="0" wp14:anchorId="6201BFD8" wp14:editId="78299F0D">
            <wp:extent cx="5760720" cy="758416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png"/>
                    <pic:cNvPicPr/>
                  </pic:nvPicPr>
                  <pic:blipFill>
                    <a:blip r:embed="rId21">
                      <a:extLst>
                        <a:ext uri="{28A0092B-C50C-407E-A947-70E740481C1C}">
                          <a14:useLocalDpi xmlns:a14="http://schemas.microsoft.com/office/drawing/2010/main" val="0"/>
                        </a:ext>
                      </a:extLst>
                    </a:blip>
                    <a:stretch>
                      <a:fillRect/>
                    </a:stretch>
                  </pic:blipFill>
                  <pic:spPr>
                    <a:xfrm>
                      <a:off x="0" y="0"/>
                      <a:ext cx="5760720" cy="7584166"/>
                    </a:xfrm>
                    <a:prstGeom prst="rect">
                      <a:avLst/>
                    </a:prstGeom>
                  </pic:spPr>
                </pic:pic>
              </a:graphicData>
            </a:graphic>
          </wp:inline>
        </w:drawing>
      </w:r>
    </w:p>
    <w:p w:rsidR="004C71F5" w:rsidRPr="007E2923" w:rsidRDefault="004C71F5" w:rsidP="004C71F5">
      <w:pPr>
        <w:tabs>
          <w:tab w:val="left" w:pos="2355"/>
        </w:tabs>
        <w:spacing w:after="300" w:line="240" w:lineRule="auto"/>
        <w:jc w:val="center"/>
        <w:rPr>
          <w:rFonts w:ascii="Times New Roman" w:eastAsia="Times New Roman" w:hAnsi="Times New Roman" w:cs="Times New Roman"/>
          <w:sz w:val="8"/>
          <w:szCs w:val="8"/>
          <w:lang w:val="en-US" w:eastAsia="fr-FR"/>
        </w:rPr>
      </w:pPr>
      <w:r w:rsidRPr="007E2923">
        <w:rPr>
          <w:rFonts w:asciiTheme="majorBidi" w:eastAsia="Times New Roman" w:hAnsiTheme="majorBidi" w:cstheme="majorBidi"/>
          <w:b/>
          <w:bCs/>
          <w:sz w:val="24"/>
          <w:szCs w:val="24"/>
          <w:lang w:val="en-US" w:eastAsia="fr-FR"/>
        </w:rPr>
        <w:t>Figure 2</w:t>
      </w:r>
      <w:r w:rsidRPr="007E2923">
        <w:rPr>
          <w:rFonts w:asciiTheme="majorBidi" w:eastAsia="Times New Roman" w:hAnsiTheme="majorBidi" w:cstheme="majorBidi"/>
          <w:sz w:val="24"/>
          <w:szCs w:val="24"/>
          <w:lang w:val="en-US" w:eastAsia="fr-FR"/>
        </w:rPr>
        <w:t xml:space="preserve">: Step-by-step flow chart describing the methods of determination of dates of death among cancer cases in a </w:t>
      </w:r>
      <w:r w:rsidRPr="007E2923">
        <w:rPr>
          <w:rFonts w:asciiTheme="majorBidi" w:eastAsia="Times New Roman" w:hAnsiTheme="majorBidi" w:cstheme="majorBidi"/>
          <w:bCs/>
          <w:sz w:val="24"/>
          <w:szCs w:val="24"/>
          <w:lang w:val="en-US" w:eastAsia="fr-FR"/>
        </w:rPr>
        <w:t>Tunisian governorate, 2002-2022</w:t>
      </w:r>
    </w:p>
    <w:p w:rsidR="004C71F5" w:rsidRPr="007E2923" w:rsidRDefault="004C71F5" w:rsidP="00405E86">
      <w:pPr>
        <w:pStyle w:val="NormalWeb"/>
        <w:spacing w:before="0" w:beforeAutospacing="0" w:after="0" w:afterAutospacing="0" w:line="480" w:lineRule="auto"/>
        <w:jc w:val="both"/>
        <w:rPr>
          <w:lang w:val="en-US"/>
        </w:rPr>
      </w:pPr>
    </w:p>
    <w:p w:rsidR="00566508" w:rsidRPr="0033186D" w:rsidRDefault="00566508" w:rsidP="00566508">
      <w:pPr>
        <w:pStyle w:val="NormalWeb"/>
        <w:rPr>
          <w:rFonts w:asciiTheme="majorBidi" w:hAnsiTheme="majorBidi" w:cstheme="majorBidi"/>
          <w:lang w:val="en-US"/>
        </w:rPr>
      </w:pPr>
      <w:r w:rsidRPr="0033186D">
        <w:rPr>
          <w:rStyle w:val="lev"/>
          <w:rFonts w:asciiTheme="majorBidi" w:hAnsiTheme="majorBidi" w:cstheme="majorBidi"/>
          <w:lang w:val="en-US"/>
        </w:rPr>
        <w:t>4.6 Statistical analysis</w:t>
      </w:r>
    </w:p>
    <w:p w:rsidR="00C213C1" w:rsidRPr="007E2923" w:rsidRDefault="00C213C1" w:rsidP="00C213C1">
      <w:pPr>
        <w:spacing w:line="360" w:lineRule="auto"/>
        <w:jc w:val="both"/>
        <w:rPr>
          <w:rFonts w:asciiTheme="majorBidi" w:hAnsiTheme="majorBidi" w:cstheme="majorBidi"/>
          <w:sz w:val="24"/>
          <w:szCs w:val="24"/>
          <w:lang w:val="en-US"/>
        </w:rPr>
      </w:pPr>
      <w:r w:rsidRPr="007E2923">
        <w:rPr>
          <w:rFonts w:ascii="Times New Roman" w:eastAsia="Times New Roman" w:hAnsi="Times New Roman" w:cs="Times New Roman"/>
          <w:sz w:val="24"/>
          <w:szCs w:val="24"/>
          <w:lang w:val="en-US" w:eastAsia="fr-FR"/>
        </w:rPr>
        <w:t>Excel software was used for data entry. Statistical Package for the Social Sciences (SPSS) version 21.0 was used for data analysis.</w:t>
      </w:r>
      <w:r w:rsidRPr="007E2923">
        <w:rPr>
          <w:rFonts w:asciiTheme="majorBidi" w:hAnsiTheme="majorBidi" w:cstheme="majorBidi"/>
          <w:sz w:val="24"/>
          <w:szCs w:val="24"/>
          <w:lang w:val="en-US"/>
        </w:rPr>
        <w:t>.</w:t>
      </w:r>
    </w:p>
    <w:p w:rsidR="00C213C1" w:rsidRPr="007E2923" w:rsidRDefault="00C213C1" w:rsidP="00B82FAA">
      <w:pPr>
        <w:spacing w:after="0" w:line="480" w:lineRule="auto"/>
        <w:jc w:val="both"/>
        <w:rPr>
          <w:rFonts w:asciiTheme="majorBidi" w:hAnsiTheme="majorBidi" w:cstheme="majorBidi"/>
          <w:sz w:val="24"/>
          <w:szCs w:val="24"/>
          <w:lang w:val="en-US"/>
        </w:rPr>
      </w:pPr>
      <w:r w:rsidRPr="007E2923">
        <w:rPr>
          <w:rFonts w:asciiTheme="majorBidi" w:eastAsia="TimesNewRomanPSMT" w:hAnsiTheme="majorBidi" w:cstheme="majorBidi"/>
          <w:color w:val="000000"/>
          <w:sz w:val="24"/>
          <w:szCs w:val="24"/>
          <w:lang w:val="en-US"/>
        </w:rPr>
        <w:t xml:space="preserve">The Crude Incidence Rate (CIR) and the Crude Mortality Rates (CMR) </w:t>
      </w:r>
      <w:r w:rsidR="00852382" w:rsidRPr="007E2923">
        <w:rPr>
          <w:rFonts w:asciiTheme="majorBidi" w:eastAsia="TimesNewRomanPSMT" w:hAnsiTheme="majorBidi" w:cstheme="majorBidi"/>
          <w:color w:val="000000"/>
          <w:sz w:val="24"/>
          <w:szCs w:val="24"/>
          <w:lang w:val="en-US"/>
        </w:rPr>
        <w:t>will be</w:t>
      </w:r>
      <w:r w:rsidRPr="007E2923">
        <w:rPr>
          <w:rFonts w:asciiTheme="majorBidi" w:eastAsia="TimesNewRomanPSMT" w:hAnsiTheme="majorBidi" w:cstheme="majorBidi"/>
          <w:color w:val="000000"/>
          <w:sz w:val="24"/>
          <w:szCs w:val="24"/>
          <w:lang w:val="en-US"/>
        </w:rPr>
        <w:t xml:space="preserve"> calculated based on Tunisian National Institute of Statistics data and </w:t>
      </w:r>
      <w:r w:rsidR="00852382" w:rsidRPr="007E2923">
        <w:rPr>
          <w:rFonts w:asciiTheme="majorBidi" w:eastAsia="TimesNewRomanPSMT" w:hAnsiTheme="majorBidi" w:cstheme="majorBidi"/>
          <w:color w:val="000000"/>
          <w:sz w:val="24"/>
          <w:szCs w:val="24"/>
          <w:lang w:val="en-US"/>
        </w:rPr>
        <w:t>will be</w:t>
      </w:r>
      <w:r w:rsidRPr="007E2923">
        <w:rPr>
          <w:rFonts w:asciiTheme="majorBidi" w:eastAsia="TimesNewRomanPSMT" w:hAnsiTheme="majorBidi" w:cstheme="majorBidi"/>
          <w:color w:val="000000"/>
          <w:sz w:val="24"/>
          <w:szCs w:val="24"/>
          <w:lang w:val="en-US"/>
        </w:rPr>
        <w:t xml:space="preserve"> expressed per 100,000 women </w:t>
      </w:r>
      <w:r w:rsidRPr="007E2923">
        <w:rPr>
          <w:rFonts w:asciiTheme="majorBidi" w:hAnsiTheme="majorBidi" w:cstheme="majorBidi"/>
          <w:sz w:val="24"/>
          <w:szCs w:val="24"/>
          <w:lang w:val="en-US"/>
        </w:rPr>
        <w:t>(</w:t>
      </w:r>
      <w:r w:rsidR="002366F7" w:rsidRPr="007E2923">
        <w:rPr>
          <w:rFonts w:asciiTheme="majorBidi" w:hAnsiTheme="majorBidi" w:cstheme="majorBidi"/>
          <w:sz w:val="24"/>
          <w:szCs w:val="24"/>
          <w:lang w:val="en-US"/>
        </w:rPr>
        <w:t>7</w:t>
      </w:r>
      <w:r w:rsidRPr="007E2923">
        <w:rPr>
          <w:rFonts w:asciiTheme="majorBidi" w:hAnsiTheme="majorBidi" w:cstheme="majorBidi"/>
          <w:sz w:val="24"/>
          <w:szCs w:val="24"/>
          <w:lang w:val="en-US"/>
        </w:rPr>
        <w:t>)</w:t>
      </w:r>
      <w:r w:rsidRPr="007E2923">
        <w:rPr>
          <w:rFonts w:asciiTheme="majorBidi" w:eastAsia="Times New Roman" w:hAnsiTheme="majorBidi" w:cstheme="majorBidi"/>
          <w:color w:val="202020"/>
          <w:sz w:val="24"/>
          <w:szCs w:val="24"/>
          <w:lang w:val="en-US" w:eastAsia="fr-FR"/>
        </w:rPr>
        <w:t>.</w:t>
      </w:r>
      <w:r w:rsidRPr="007E2923">
        <w:rPr>
          <w:rFonts w:asciiTheme="majorBidi" w:eastAsia="TimesNewRomanPSMT" w:hAnsiTheme="majorBidi" w:cstheme="majorBidi"/>
          <w:color w:val="000000"/>
          <w:sz w:val="24"/>
          <w:szCs w:val="24"/>
          <w:lang w:val="en-US"/>
        </w:rPr>
        <w:t xml:space="preserve"> </w:t>
      </w:r>
      <w:r w:rsidRPr="007E2923">
        <w:rPr>
          <w:rFonts w:asciiTheme="majorBidi" w:hAnsiTheme="majorBidi" w:cstheme="majorBidi"/>
          <w:sz w:val="24"/>
          <w:szCs w:val="24"/>
          <w:lang w:val="en-US"/>
        </w:rPr>
        <w:t>We calculated CIR for 100,000 Women.</w:t>
      </w:r>
    </w:p>
    <w:p w:rsidR="00C213C1" w:rsidRPr="007E2923" w:rsidRDefault="00C213C1" w:rsidP="00C213C1">
      <w:pPr>
        <w:autoSpaceDE w:val="0"/>
        <w:autoSpaceDN w:val="0"/>
        <w:adjustRightInd w:val="0"/>
        <w:spacing w:after="0" w:line="480" w:lineRule="auto"/>
        <w:rPr>
          <w:rFonts w:asciiTheme="majorBidi" w:hAnsiTheme="majorBidi" w:cstheme="majorBidi"/>
          <w:sz w:val="24"/>
          <w:szCs w:val="24"/>
          <w:lang w:val="en-US"/>
        </w:rPr>
      </w:pPr>
      <m:oMathPara>
        <m:oMath>
          <m:r>
            <w:rPr>
              <w:rFonts w:ascii="Cambria Math" w:hAnsi="Cambria Math" w:cstheme="majorBidi"/>
              <w:sz w:val="24"/>
              <w:szCs w:val="24"/>
              <w:lang w:val="en-US"/>
            </w:rPr>
            <m:t xml:space="preserve">crude incidence rate in a given year </m:t>
          </m:r>
          <m:r>
            <m:rPr>
              <m:sty m:val="p"/>
            </m:rPr>
            <w:rPr>
              <w:rFonts w:ascii="Cambria Math" w:hAnsi="Cambria Math" w:cstheme="majorBidi"/>
              <w:sz w:val="24"/>
              <w:szCs w:val="24"/>
              <w:lang w:val="en-US"/>
            </w:rPr>
            <m:t>=</m:t>
          </m:r>
          <m:f>
            <m:fPr>
              <m:ctrlPr>
                <w:rPr>
                  <w:rFonts w:ascii="Cambria Math" w:hAnsi="Cambria Math" w:cstheme="majorBidi"/>
                  <w:sz w:val="24"/>
                  <w:szCs w:val="24"/>
                  <w:lang w:val="en-US"/>
                </w:rPr>
              </m:ctrlPr>
            </m:fPr>
            <m:num>
              <m:r>
                <m:rPr>
                  <m:sty m:val="p"/>
                </m:rPr>
                <w:rPr>
                  <w:rFonts w:ascii="Cambria Math" w:hAnsi="Cambria Math" w:cstheme="majorBidi"/>
                  <w:sz w:val="24"/>
                  <w:szCs w:val="24"/>
                  <w:lang w:val="en-US"/>
                </w:rPr>
                <m:t xml:space="preserve">number of new cases </m:t>
              </m:r>
            </m:num>
            <m:den>
              <m:r>
                <m:rPr>
                  <m:sty m:val="p"/>
                </m:rPr>
                <w:rPr>
                  <w:rFonts w:ascii="Cambria Math" w:hAnsi="Cambria Math" w:cstheme="majorBidi"/>
                  <w:sz w:val="24"/>
                  <w:szCs w:val="24"/>
                  <w:lang w:val="en-US"/>
                </w:rPr>
                <m:t xml:space="preserve">number of females-time at risk </m:t>
              </m:r>
            </m:den>
          </m:f>
          <m:r>
            <w:rPr>
              <w:rFonts w:ascii="Cambria Math" w:hAnsi="Cambria Math" w:cstheme="majorBidi"/>
              <w:sz w:val="24"/>
              <w:szCs w:val="24"/>
              <w:lang w:val="en-US"/>
            </w:rPr>
            <m:t xml:space="preserve"> in a given year </m:t>
          </m:r>
        </m:oMath>
      </m:oMathPara>
    </w:p>
    <w:p w:rsidR="00C213C1" w:rsidRPr="007E2923" w:rsidRDefault="00C213C1" w:rsidP="00852382">
      <w:pPr>
        <w:autoSpaceDE w:val="0"/>
        <w:autoSpaceDN w:val="0"/>
        <w:adjustRightInd w:val="0"/>
        <w:spacing w:after="0" w:line="480" w:lineRule="auto"/>
        <w:jc w:val="both"/>
        <w:rPr>
          <w:rFonts w:asciiTheme="majorBidi" w:eastAsia="Times New Roman" w:hAnsiTheme="majorBidi" w:cstheme="majorBidi"/>
          <w:color w:val="202020"/>
          <w:sz w:val="24"/>
          <w:szCs w:val="24"/>
          <w:lang w:val="en-US" w:eastAsia="fr-FR"/>
        </w:rPr>
      </w:pPr>
      <w:r w:rsidRPr="007E2923">
        <w:rPr>
          <w:rFonts w:asciiTheme="majorBidi" w:eastAsia="TimesNewRomanPSMT" w:hAnsiTheme="majorBidi" w:cstheme="majorBidi"/>
          <w:color w:val="000000"/>
          <w:sz w:val="24"/>
          <w:szCs w:val="24"/>
          <w:lang w:val="en-US"/>
        </w:rPr>
        <w:t xml:space="preserve">The ASIR and </w:t>
      </w:r>
      <w:r w:rsidRPr="007E2923">
        <w:rPr>
          <w:rFonts w:asciiTheme="majorBidi" w:eastAsia="Calibri" w:hAnsiTheme="majorBidi" w:cstheme="majorBidi"/>
          <w:sz w:val="24"/>
          <w:szCs w:val="24"/>
          <w:lang w:val="en-US"/>
        </w:rPr>
        <w:t>Age-Standardized Mortality Rate (</w:t>
      </w:r>
      <w:r w:rsidRPr="007E2923">
        <w:rPr>
          <w:rFonts w:asciiTheme="majorBidi" w:eastAsia="TimesNewRomanPSMT" w:hAnsiTheme="majorBidi" w:cstheme="majorBidi"/>
          <w:color w:val="000000"/>
          <w:sz w:val="24"/>
          <w:szCs w:val="24"/>
          <w:lang w:val="en-US"/>
        </w:rPr>
        <w:t xml:space="preserve">ASMR) per 100,000 Women-years (WY) </w:t>
      </w:r>
      <w:r w:rsidR="00852382" w:rsidRPr="007E2923">
        <w:rPr>
          <w:rFonts w:asciiTheme="majorBidi" w:eastAsia="TimesNewRomanPSMT" w:hAnsiTheme="majorBidi" w:cstheme="majorBidi"/>
          <w:color w:val="000000"/>
          <w:sz w:val="24"/>
          <w:szCs w:val="24"/>
          <w:lang w:val="en-US"/>
        </w:rPr>
        <w:t xml:space="preserve">will be </w:t>
      </w:r>
      <w:r w:rsidRPr="007E2923">
        <w:rPr>
          <w:rFonts w:asciiTheme="majorBidi" w:eastAsia="TimesNewRomanPSMT" w:hAnsiTheme="majorBidi" w:cstheme="majorBidi"/>
          <w:color w:val="000000"/>
          <w:sz w:val="24"/>
          <w:szCs w:val="24"/>
          <w:lang w:val="en-US"/>
        </w:rPr>
        <w:t>calculated using the world standard population according to the World Health Organization statement of 2013</w:t>
      </w:r>
      <w:r w:rsidRPr="007E2923">
        <w:rPr>
          <w:rFonts w:asciiTheme="majorBidi" w:eastAsia="Times New Roman" w:hAnsiTheme="majorBidi" w:cstheme="majorBidi"/>
          <w:color w:val="202020"/>
          <w:sz w:val="24"/>
          <w:szCs w:val="24"/>
          <w:lang w:val="en-US" w:eastAsia="fr-FR"/>
        </w:rPr>
        <w:t xml:space="preserve"> </w:t>
      </w:r>
      <w:r w:rsidRPr="007E2923">
        <w:rPr>
          <w:rFonts w:asciiTheme="majorBidi" w:hAnsiTheme="majorBidi" w:cstheme="majorBidi"/>
          <w:sz w:val="24"/>
          <w:szCs w:val="24"/>
          <w:lang w:val="en-US"/>
        </w:rPr>
        <w:t>(15)</w:t>
      </w:r>
      <w:r w:rsidRPr="007E2923">
        <w:rPr>
          <w:rFonts w:asciiTheme="majorBidi" w:eastAsia="Times New Roman" w:hAnsiTheme="majorBidi" w:cstheme="majorBidi"/>
          <w:color w:val="202020"/>
          <w:sz w:val="24"/>
          <w:szCs w:val="24"/>
          <w:lang w:val="en-US" w:eastAsia="fr-FR"/>
        </w:rPr>
        <w:t>.</w:t>
      </w:r>
    </w:p>
    <w:p w:rsidR="00C213C1" w:rsidRPr="007E2923" w:rsidRDefault="00561BA5" w:rsidP="00C213C1">
      <w:pPr>
        <w:autoSpaceDE w:val="0"/>
        <w:autoSpaceDN w:val="0"/>
        <w:adjustRightInd w:val="0"/>
        <w:spacing w:after="0" w:line="480" w:lineRule="auto"/>
        <w:jc w:val="both"/>
        <w:rPr>
          <w:rFonts w:asciiTheme="majorBidi" w:hAnsiTheme="majorBidi" w:cstheme="majorBidi"/>
          <w:color w:val="000000" w:themeColor="text1"/>
          <w:sz w:val="24"/>
          <w:szCs w:val="24"/>
          <w:lang w:val="en-US"/>
        </w:rPr>
      </w:pPr>
      <m:oMathPara>
        <m:oMath>
          <m:sSup>
            <m:sSupPr>
              <m:ctrlPr>
                <w:rPr>
                  <w:rFonts w:ascii="Cambria Math" w:hAnsi="Cambria Math" w:cstheme="majorBidi"/>
                  <w:color w:val="000000" w:themeColor="text1"/>
                  <w:sz w:val="24"/>
                  <w:szCs w:val="24"/>
                  <w:lang w:val="en-US"/>
                </w:rPr>
              </m:ctrlPr>
            </m:sSupPr>
            <m:e>
              <m:r>
                <m:rPr>
                  <m:sty m:val="p"/>
                </m:rPr>
                <w:rPr>
                  <w:rFonts w:ascii="Cambria Math" w:hAnsi="Cambria Math" w:cstheme="majorBidi"/>
                  <w:color w:val="000000" w:themeColor="text1"/>
                  <w:sz w:val="24"/>
                  <w:szCs w:val="24"/>
                  <w:lang w:val="en-US"/>
                </w:rPr>
                <m:t>Standardized rate</m:t>
              </m:r>
            </m:e>
            <m:sup/>
          </m:sSup>
          <m:r>
            <w:rPr>
              <w:rFonts w:ascii="Cambria Math" w:eastAsia="Cambria Math" w:hAnsi="Cambria Math" w:cstheme="majorBidi"/>
              <w:color w:val="000000" w:themeColor="text1"/>
              <w:sz w:val="24"/>
              <w:szCs w:val="24"/>
              <w:lang w:val="en-US"/>
            </w:rPr>
            <m:t>=</m:t>
          </m:r>
          <m:nary>
            <m:naryPr>
              <m:chr m:val="∑"/>
              <m:grow m:val="1"/>
              <m:ctrlPr>
                <w:rPr>
                  <w:rFonts w:ascii="Cambria Math" w:hAnsi="Cambria Math" w:cstheme="majorBidi"/>
                  <w:color w:val="000000" w:themeColor="text1"/>
                  <w:sz w:val="24"/>
                  <w:szCs w:val="24"/>
                  <w:lang w:val="en-US"/>
                </w:rPr>
              </m:ctrlPr>
            </m:naryPr>
            <m:sub>
              <m:r>
                <w:rPr>
                  <w:rFonts w:ascii="Cambria Math" w:eastAsia="Cambria Math" w:hAnsi="Cambria Math" w:cstheme="majorBidi"/>
                  <w:color w:val="000000" w:themeColor="text1"/>
                  <w:sz w:val="24"/>
                  <w:szCs w:val="24"/>
                  <w:lang w:val="en-US"/>
                </w:rPr>
                <m:t>i-1</m:t>
              </m:r>
            </m:sub>
            <m:sup>
              <m:r>
                <w:rPr>
                  <w:rFonts w:ascii="Cambria Math" w:eastAsia="Cambria Math" w:hAnsi="Cambria Math" w:cstheme="majorBidi"/>
                  <w:color w:val="000000" w:themeColor="text1"/>
                  <w:sz w:val="24"/>
                  <w:szCs w:val="24"/>
                  <w:lang w:val="en-US"/>
                </w:rPr>
                <m:t>n</m:t>
              </m:r>
            </m:sup>
            <m:e>
              <m:r>
                <m:rPr>
                  <m:sty m:val="p"/>
                </m:rPr>
                <w:rPr>
                  <w:rFonts w:ascii="Cambria Math" w:hAnsi="Cambria Math" w:cstheme="majorBidi"/>
                  <w:color w:val="000000" w:themeColor="text1"/>
                  <w:sz w:val="24"/>
                  <w:szCs w:val="24"/>
                  <w:lang w:val="en-US"/>
                </w:rPr>
                <m:t>ti*proportion of the age class in the reference population</m:t>
              </m:r>
            </m:e>
          </m:nary>
        </m:oMath>
      </m:oMathPara>
    </w:p>
    <w:p w:rsidR="00C213C1" w:rsidRPr="007E2923" w:rsidRDefault="00C213C1" w:rsidP="00C213C1">
      <w:pPr>
        <w:spacing w:after="0" w:line="480" w:lineRule="auto"/>
        <w:jc w:val="both"/>
        <w:rPr>
          <w:rFonts w:asciiTheme="majorBidi" w:eastAsia="TimesNewRomanPSMT" w:hAnsiTheme="majorBidi" w:cstheme="majorBidi"/>
          <w:color w:val="000000"/>
          <w:sz w:val="24"/>
          <w:szCs w:val="24"/>
          <w:lang w:val="en-US"/>
        </w:rPr>
      </w:pPr>
      <w:r w:rsidRPr="007E2923">
        <w:rPr>
          <w:rFonts w:asciiTheme="majorBidi" w:hAnsiTheme="majorBidi" w:cstheme="majorBidi"/>
          <w:color w:val="000000" w:themeColor="text1"/>
          <w:sz w:val="24"/>
          <w:szCs w:val="24"/>
          <w:lang w:val="en-US"/>
        </w:rPr>
        <w:t>Where n represents the number of total age classes and ti the incidence rate specific by age group.</w:t>
      </w:r>
    </w:p>
    <w:p w:rsidR="00FC18CB" w:rsidRPr="007E2923" w:rsidRDefault="00FC18CB" w:rsidP="00FC18CB">
      <w:pPr>
        <w:pStyle w:val="NormalWeb"/>
        <w:spacing w:before="0" w:beforeAutospacing="0" w:after="0" w:afterAutospacing="0" w:line="480" w:lineRule="auto"/>
        <w:jc w:val="both"/>
        <w:rPr>
          <w:rFonts w:asciiTheme="majorBidi" w:eastAsia="TimesNewRomanPSMT" w:hAnsiTheme="majorBidi" w:cstheme="majorBidi"/>
          <w:color w:val="000000"/>
          <w:lang w:val="en-US"/>
        </w:rPr>
      </w:pPr>
      <w:r w:rsidRPr="007E2923">
        <w:rPr>
          <w:rFonts w:asciiTheme="majorBidi" w:hAnsiTheme="majorBidi" w:cstheme="majorBidi"/>
          <w:lang w:val="en-US"/>
        </w:rPr>
        <w:t>The chi-squared test for independent samples will be applied to compare incidence and mortality rates between sexes and across age groups. Trends in the crude incidence rate (CIR) will be assessed using Annual Percentage Change (APC) calculated with the Joinpoint Regression Program. Predictions of cancer incidence for 2025 and 2030 will be estimated using Age-Period-Cohort analysis based on Poisson log-linear regression. A p-value &lt; 0.05 will be considered as statistically significant.</w:t>
      </w:r>
    </w:p>
    <w:p w:rsidR="00FC18CB" w:rsidRPr="007E2923" w:rsidRDefault="00C213C1" w:rsidP="00FC18CB">
      <w:pPr>
        <w:pStyle w:val="NormalWeb"/>
        <w:spacing w:before="0" w:beforeAutospacing="0" w:after="0" w:afterAutospacing="0" w:line="480" w:lineRule="auto"/>
        <w:jc w:val="both"/>
        <w:rPr>
          <w:rFonts w:asciiTheme="majorBidi" w:hAnsiTheme="majorBidi" w:cstheme="majorBidi"/>
          <w:lang w:val="en-US"/>
        </w:rPr>
      </w:pPr>
      <w:r w:rsidRPr="007E2923">
        <w:rPr>
          <w:rFonts w:asciiTheme="majorBidi" w:eastAsia="TimesNewRomanPSMT" w:hAnsiTheme="majorBidi" w:cstheme="majorBidi"/>
          <w:color w:val="000000"/>
          <w:lang w:val="en-US"/>
        </w:rPr>
        <w:t xml:space="preserve">For the calculation of Disability-Adjusted Life Years (DALYs), Years of Life Lost (YLL) </w:t>
      </w:r>
      <w:r w:rsidR="00852382" w:rsidRPr="007E2923">
        <w:rPr>
          <w:rFonts w:asciiTheme="majorBidi" w:eastAsia="TimesNewRomanPSMT" w:hAnsiTheme="majorBidi" w:cstheme="majorBidi"/>
          <w:color w:val="000000"/>
          <w:lang w:val="en-US"/>
        </w:rPr>
        <w:t>will be</w:t>
      </w:r>
      <w:r w:rsidRPr="007E2923">
        <w:rPr>
          <w:rFonts w:asciiTheme="majorBidi" w:eastAsia="TimesNewRomanPSMT" w:hAnsiTheme="majorBidi" w:cstheme="majorBidi"/>
          <w:color w:val="000000"/>
          <w:lang w:val="en-US"/>
        </w:rPr>
        <w:t xml:space="preserve"> computed by multiplying the number of cancer-related deaths by the standard life</w:t>
      </w:r>
      <w:r w:rsidR="00852382" w:rsidRPr="007E2923">
        <w:rPr>
          <w:rFonts w:asciiTheme="majorBidi" w:eastAsia="TimesNewRomanPSMT" w:hAnsiTheme="majorBidi" w:cstheme="majorBidi"/>
          <w:color w:val="000000"/>
          <w:lang w:val="en-US"/>
        </w:rPr>
        <w:t xml:space="preserve"> expectancy at the age of death</w:t>
      </w:r>
      <w:r w:rsidRPr="007E2923">
        <w:rPr>
          <w:rFonts w:asciiTheme="majorBidi" w:eastAsia="TimesNewRomanPSMT" w:hAnsiTheme="majorBidi" w:cstheme="majorBidi"/>
          <w:color w:val="000000"/>
          <w:lang w:val="en-US"/>
        </w:rPr>
        <w:t xml:space="preserve">. Years Lived with Disability (YLD) were estimated by multiplying the </w:t>
      </w:r>
    </w:p>
    <w:p w:rsidR="00C213C1" w:rsidRPr="007E2923" w:rsidRDefault="00C213C1" w:rsidP="00F3694C">
      <w:pPr>
        <w:spacing w:after="0" w:line="480" w:lineRule="auto"/>
        <w:jc w:val="both"/>
        <w:rPr>
          <w:rFonts w:asciiTheme="majorBidi" w:hAnsiTheme="majorBidi" w:cstheme="majorBidi"/>
          <w:sz w:val="24"/>
          <w:szCs w:val="24"/>
          <w:lang w:val="en-US"/>
        </w:rPr>
      </w:pPr>
      <w:r w:rsidRPr="007E2923">
        <w:rPr>
          <w:rFonts w:asciiTheme="majorBidi" w:hAnsiTheme="majorBidi" w:cstheme="majorBidi"/>
          <w:sz w:val="24"/>
          <w:szCs w:val="24"/>
          <w:lang w:val="en-US"/>
        </w:rPr>
        <w:t xml:space="preserve">For survival analysis, only patients with a clearly defined vital status (alive or deceased) </w:t>
      </w:r>
      <w:r w:rsidR="00F3694C" w:rsidRPr="007E2923">
        <w:rPr>
          <w:rFonts w:asciiTheme="majorBidi" w:hAnsiTheme="majorBidi" w:cstheme="majorBidi"/>
          <w:sz w:val="24"/>
          <w:szCs w:val="24"/>
          <w:lang w:val="en-US"/>
        </w:rPr>
        <w:t>will be</w:t>
      </w:r>
      <w:r w:rsidRPr="007E2923">
        <w:rPr>
          <w:rFonts w:asciiTheme="majorBidi" w:hAnsiTheme="majorBidi" w:cstheme="majorBidi"/>
          <w:sz w:val="24"/>
          <w:szCs w:val="24"/>
          <w:lang w:val="en-US"/>
        </w:rPr>
        <w:t xml:space="preserve"> included in the analysis.</w:t>
      </w:r>
      <w:r w:rsidR="00F3694C" w:rsidRPr="007E2923">
        <w:rPr>
          <w:rFonts w:asciiTheme="majorBidi" w:hAnsiTheme="majorBidi" w:cstheme="majorBidi"/>
          <w:sz w:val="24"/>
          <w:szCs w:val="24"/>
          <w:lang w:val="en-US"/>
        </w:rPr>
        <w:t xml:space="preserve"> Overall and cancer-specific survival will be analyzed using Kaplan–Meier estimators and compared across groups using the log-rank test. Cox proportional hazards models will be applied to evaluate the effect of demographic and cancer type on survival outcomes.</w:t>
      </w:r>
    </w:p>
    <w:p w:rsidR="00566508" w:rsidRPr="007E2923" w:rsidRDefault="00566508" w:rsidP="00F3694C">
      <w:pPr>
        <w:pStyle w:val="NormalWeb"/>
        <w:spacing w:before="0" w:beforeAutospacing="0" w:after="0" w:afterAutospacing="0" w:line="480" w:lineRule="auto"/>
        <w:rPr>
          <w:rFonts w:asciiTheme="majorBidi" w:hAnsiTheme="majorBidi" w:cstheme="majorBidi"/>
          <w:lang w:val="en-US"/>
        </w:rPr>
      </w:pPr>
      <w:r w:rsidRPr="007E2923">
        <w:rPr>
          <w:rStyle w:val="lev"/>
          <w:rFonts w:asciiTheme="majorBidi" w:hAnsiTheme="majorBidi" w:cstheme="majorBidi"/>
          <w:lang w:val="en-US"/>
        </w:rPr>
        <w:t>4.7 Timeline</w:t>
      </w:r>
    </w:p>
    <w:p w:rsidR="00F3694C" w:rsidRPr="007E2923" w:rsidRDefault="00F3694C" w:rsidP="00F3694C">
      <w:pPr>
        <w:pStyle w:val="NormalWeb"/>
        <w:numPr>
          <w:ilvl w:val="0"/>
          <w:numId w:val="13"/>
        </w:numPr>
        <w:spacing w:before="0" w:beforeAutospacing="0" w:after="0" w:afterAutospacing="0" w:line="480" w:lineRule="auto"/>
        <w:rPr>
          <w:lang w:val="en-US"/>
        </w:rPr>
      </w:pPr>
      <w:r w:rsidRPr="007E2923">
        <w:rPr>
          <w:rStyle w:val="lev"/>
          <w:lang w:val="en-US"/>
        </w:rPr>
        <w:t>Data collection:</w:t>
      </w:r>
      <w:r w:rsidRPr="007E2923">
        <w:rPr>
          <w:lang w:val="en-US"/>
        </w:rPr>
        <w:t xml:space="preserve"> 2020–2023</w:t>
      </w:r>
    </w:p>
    <w:p w:rsidR="00F3694C" w:rsidRPr="007E2923" w:rsidRDefault="00F3694C" w:rsidP="00F3694C">
      <w:pPr>
        <w:pStyle w:val="NormalWeb"/>
        <w:numPr>
          <w:ilvl w:val="0"/>
          <w:numId w:val="13"/>
        </w:numPr>
        <w:spacing w:before="0" w:beforeAutospacing="0" w:after="0" w:afterAutospacing="0" w:line="480" w:lineRule="auto"/>
        <w:rPr>
          <w:lang w:val="en-US"/>
        </w:rPr>
      </w:pPr>
      <w:r w:rsidRPr="007E2923">
        <w:rPr>
          <w:rStyle w:val="lev"/>
          <w:lang w:val="en-US"/>
        </w:rPr>
        <w:t>Data analysis:</w:t>
      </w:r>
      <w:r w:rsidRPr="007E2923">
        <w:rPr>
          <w:lang w:val="en-US"/>
        </w:rPr>
        <w:t xml:space="preserve"> 2024</w:t>
      </w:r>
    </w:p>
    <w:p w:rsidR="00566508" w:rsidRPr="007E2923" w:rsidRDefault="00566508" w:rsidP="00566508">
      <w:pPr>
        <w:rPr>
          <w:rFonts w:asciiTheme="majorBidi" w:hAnsiTheme="majorBidi" w:cstheme="majorBidi"/>
        </w:rPr>
      </w:pPr>
    </w:p>
    <w:p w:rsidR="00566508" w:rsidRPr="007E2923" w:rsidRDefault="00566508" w:rsidP="000C0F17">
      <w:pPr>
        <w:pStyle w:val="Titre3"/>
        <w:numPr>
          <w:ilvl w:val="0"/>
          <w:numId w:val="25"/>
        </w:numPr>
        <w:spacing w:line="480" w:lineRule="auto"/>
        <w:rPr>
          <w:rFonts w:asciiTheme="majorBidi" w:hAnsiTheme="majorBidi"/>
          <w:color w:val="auto"/>
        </w:rPr>
      </w:pPr>
      <w:r w:rsidRPr="007E2923">
        <w:rPr>
          <w:rStyle w:val="lev"/>
          <w:rFonts w:asciiTheme="majorBidi" w:hAnsiTheme="majorBidi"/>
          <w:color w:val="auto"/>
        </w:rPr>
        <w:t>Ethics</w:t>
      </w:r>
    </w:p>
    <w:p w:rsidR="00CC7E35" w:rsidRPr="007E2923" w:rsidRDefault="00D458D1" w:rsidP="000C0F17">
      <w:pPr>
        <w:pStyle w:val="NormalWeb"/>
        <w:numPr>
          <w:ilvl w:val="0"/>
          <w:numId w:val="28"/>
        </w:numPr>
        <w:spacing w:before="0" w:beforeAutospacing="0" w:after="0" w:afterAutospacing="0" w:line="480" w:lineRule="auto"/>
        <w:ind w:left="714" w:hanging="357"/>
        <w:jc w:val="both"/>
        <w:rPr>
          <w:rFonts w:asciiTheme="majorBidi" w:hAnsiTheme="majorBidi" w:cstheme="majorBidi"/>
          <w:lang w:val="en-US"/>
        </w:rPr>
      </w:pPr>
      <w:r w:rsidRPr="007E2923">
        <w:rPr>
          <w:lang w:val="en-US"/>
        </w:rPr>
        <w:t>The study used hospital morbidity and mortality registry data that received formal approvals for research use since 1990 (</w:t>
      </w:r>
      <w:r w:rsidR="0023406E" w:rsidRPr="007E2923">
        <w:rPr>
          <w:lang w:val="en-US"/>
        </w:rPr>
        <w:t>A</w:t>
      </w:r>
      <w:r w:rsidRPr="007E2923">
        <w:rPr>
          <w:lang w:val="en-US"/>
        </w:rPr>
        <w:t xml:space="preserve">ppendix </w:t>
      </w:r>
      <w:r w:rsidR="0023406E" w:rsidRPr="007E2923">
        <w:rPr>
          <w:lang w:val="en-US"/>
        </w:rPr>
        <w:t xml:space="preserve">of </w:t>
      </w:r>
      <w:r w:rsidRPr="007E2923">
        <w:rPr>
          <w:lang w:val="en-US"/>
        </w:rPr>
        <w:t>approbation of 2006 and 2019).</w:t>
      </w:r>
    </w:p>
    <w:p w:rsidR="00566508" w:rsidRPr="007E2923" w:rsidRDefault="00CC7E35" w:rsidP="00091832">
      <w:pPr>
        <w:pStyle w:val="NormalWeb"/>
        <w:numPr>
          <w:ilvl w:val="0"/>
          <w:numId w:val="28"/>
        </w:numPr>
        <w:spacing w:before="0" w:beforeAutospacing="0" w:after="0" w:afterAutospacing="0" w:line="480" w:lineRule="auto"/>
        <w:ind w:left="714" w:hanging="357"/>
        <w:jc w:val="both"/>
        <w:rPr>
          <w:rFonts w:asciiTheme="majorBidi" w:hAnsiTheme="majorBidi" w:cstheme="majorBidi"/>
          <w:lang w:val="en-US"/>
        </w:rPr>
      </w:pPr>
      <w:r w:rsidRPr="007E2923">
        <w:rPr>
          <w:rFonts w:asciiTheme="majorBidi" w:hAnsiTheme="majorBidi" w:cstheme="majorBidi"/>
          <w:lang w:val="en-US"/>
        </w:rPr>
        <w:t>We examined anonymized aggregate data. Our study was conducted in accordance to the relevant guidelines and regulations. The Ethics committee of the faculty of medicine of Monastir approved the protocol of this study (IORG 0009738 N°101/OMB0990-0279)</w:t>
      </w:r>
      <w:r w:rsidR="00566508" w:rsidRPr="007E2923">
        <w:rPr>
          <w:rFonts w:asciiTheme="majorBidi" w:hAnsiTheme="majorBidi" w:cstheme="majorBidi"/>
          <w:lang w:val="en-US"/>
        </w:rPr>
        <w:t>Protection des données personnelles</w:t>
      </w:r>
      <w:r w:rsidR="0023406E" w:rsidRPr="007E2923">
        <w:rPr>
          <w:rFonts w:asciiTheme="majorBidi" w:hAnsiTheme="majorBidi" w:cstheme="majorBidi"/>
          <w:lang w:val="en-US"/>
        </w:rPr>
        <w:t xml:space="preserve"> (Appendix)</w:t>
      </w:r>
      <w:r w:rsidR="00566508" w:rsidRPr="007E2923">
        <w:rPr>
          <w:rFonts w:asciiTheme="majorBidi" w:hAnsiTheme="majorBidi" w:cstheme="majorBidi"/>
          <w:lang w:val="en-US"/>
        </w:rPr>
        <w:t>.</w:t>
      </w:r>
    </w:p>
    <w:p w:rsidR="0023406E" w:rsidRPr="007E2923" w:rsidRDefault="0023406E" w:rsidP="00091832">
      <w:pPr>
        <w:pStyle w:val="NormalWeb"/>
        <w:numPr>
          <w:ilvl w:val="0"/>
          <w:numId w:val="28"/>
        </w:numPr>
        <w:spacing w:before="0" w:beforeAutospacing="0" w:after="0" w:afterAutospacing="0" w:line="480" w:lineRule="auto"/>
        <w:ind w:left="714" w:hanging="357"/>
        <w:jc w:val="both"/>
        <w:rPr>
          <w:rFonts w:asciiTheme="majorBidi" w:hAnsiTheme="majorBidi" w:cstheme="majorBidi"/>
          <w:lang w:val="en-US"/>
        </w:rPr>
      </w:pPr>
      <w:r w:rsidRPr="007E2923">
        <w:rPr>
          <w:rFonts w:asciiTheme="majorBidi" w:hAnsiTheme="majorBidi" w:cstheme="majorBidi"/>
          <w:lang w:val="en-US"/>
        </w:rPr>
        <w:t>Access to mortality data for the Monastir governorate from the Ministry of Social Affairs was granted by the National Authority for the Protection of Personal Data (INPDP). All data were handled in accordance with national regulations to ensure confidentiality and ethical compliance (Appendix).</w:t>
      </w:r>
    </w:p>
    <w:p w:rsidR="00566508" w:rsidRPr="007E2923" w:rsidRDefault="00566508" w:rsidP="00B9139A">
      <w:pPr>
        <w:pStyle w:val="Titre3"/>
        <w:numPr>
          <w:ilvl w:val="0"/>
          <w:numId w:val="25"/>
        </w:numPr>
        <w:spacing w:line="480" w:lineRule="auto"/>
        <w:rPr>
          <w:rFonts w:asciiTheme="majorBidi" w:hAnsiTheme="majorBidi"/>
          <w:color w:val="auto"/>
        </w:rPr>
      </w:pPr>
      <w:r w:rsidRPr="007E2923">
        <w:rPr>
          <w:rStyle w:val="lev"/>
          <w:rFonts w:asciiTheme="majorBidi" w:hAnsiTheme="majorBidi"/>
          <w:color w:val="auto"/>
        </w:rPr>
        <w:t>Expected outcomes / Dissemination</w:t>
      </w:r>
    </w:p>
    <w:p w:rsidR="00556249" w:rsidRPr="00556249" w:rsidRDefault="00556249" w:rsidP="00556249">
      <w:pPr>
        <w:spacing w:after="0" w:line="480" w:lineRule="auto"/>
        <w:rPr>
          <w:rFonts w:ascii="Times New Roman" w:eastAsia="Times New Roman" w:hAnsi="Times New Roman" w:cs="Times New Roman"/>
          <w:sz w:val="24"/>
          <w:szCs w:val="24"/>
          <w:lang w:val="en-US"/>
        </w:rPr>
      </w:pPr>
      <w:r w:rsidRPr="00556249">
        <w:rPr>
          <w:rFonts w:ascii="Times New Roman" w:eastAsia="Times New Roman" w:hAnsi="Times New Roman" w:cs="Times New Roman"/>
          <w:sz w:val="24"/>
          <w:szCs w:val="24"/>
          <w:lang w:val="en-US"/>
        </w:rPr>
        <w:t>The study will report the following outcomes:</w:t>
      </w:r>
    </w:p>
    <w:p w:rsidR="00556249" w:rsidRPr="00556249" w:rsidRDefault="00556249" w:rsidP="00556249">
      <w:pPr>
        <w:numPr>
          <w:ilvl w:val="0"/>
          <w:numId w:val="30"/>
        </w:numPr>
        <w:spacing w:after="0" w:line="480" w:lineRule="auto"/>
        <w:rPr>
          <w:rFonts w:ascii="Times New Roman" w:eastAsia="Times New Roman" w:hAnsi="Times New Roman" w:cs="Times New Roman"/>
          <w:sz w:val="24"/>
          <w:szCs w:val="24"/>
          <w:lang w:val="en-US"/>
        </w:rPr>
      </w:pPr>
      <w:r w:rsidRPr="00556249">
        <w:rPr>
          <w:rFonts w:ascii="Times New Roman" w:eastAsia="Times New Roman" w:hAnsi="Times New Roman" w:cs="Times New Roman"/>
          <w:sz w:val="24"/>
          <w:szCs w:val="24"/>
          <w:lang w:val="en-US"/>
        </w:rPr>
        <w:t>Age-standardized and crude incidence and mortality rates</w:t>
      </w:r>
    </w:p>
    <w:p w:rsidR="00556249" w:rsidRPr="00556249" w:rsidRDefault="00556249" w:rsidP="00556249">
      <w:pPr>
        <w:numPr>
          <w:ilvl w:val="0"/>
          <w:numId w:val="30"/>
        </w:numPr>
        <w:spacing w:after="0" w:line="480" w:lineRule="auto"/>
        <w:rPr>
          <w:rFonts w:ascii="Times New Roman" w:eastAsia="Times New Roman" w:hAnsi="Times New Roman" w:cs="Times New Roman"/>
          <w:sz w:val="24"/>
          <w:szCs w:val="24"/>
          <w:lang w:val="en-US"/>
        </w:rPr>
      </w:pPr>
      <w:r w:rsidRPr="00556249">
        <w:rPr>
          <w:rFonts w:ascii="Times New Roman" w:eastAsia="Times New Roman" w:hAnsi="Times New Roman" w:cs="Times New Roman"/>
          <w:sz w:val="24"/>
          <w:szCs w:val="24"/>
          <w:lang w:val="en-US"/>
        </w:rPr>
        <w:t>Annual percent change in incidence and mortality</w:t>
      </w:r>
    </w:p>
    <w:p w:rsidR="00556249" w:rsidRPr="00556249" w:rsidRDefault="00556249" w:rsidP="00556249">
      <w:pPr>
        <w:numPr>
          <w:ilvl w:val="0"/>
          <w:numId w:val="30"/>
        </w:numPr>
        <w:spacing w:after="0" w:line="480" w:lineRule="auto"/>
        <w:rPr>
          <w:rFonts w:ascii="Times New Roman" w:eastAsia="Times New Roman" w:hAnsi="Times New Roman" w:cs="Times New Roman"/>
          <w:sz w:val="24"/>
          <w:szCs w:val="24"/>
          <w:lang w:val="en-US"/>
        </w:rPr>
      </w:pPr>
      <w:r w:rsidRPr="00556249">
        <w:rPr>
          <w:rFonts w:ascii="Times New Roman" w:eastAsia="Times New Roman" w:hAnsi="Times New Roman" w:cs="Times New Roman"/>
          <w:sz w:val="24"/>
          <w:szCs w:val="24"/>
          <w:lang w:val="en-US"/>
        </w:rPr>
        <w:t>Incidence projections to 2030</w:t>
      </w:r>
    </w:p>
    <w:p w:rsidR="00556249" w:rsidRPr="00556249" w:rsidRDefault="00556249" w:rsidP="00556249">
      <w:pPr>
        <w:numPr>
          <w:ilvl w:val="0"/>
          <w:numId w:val="30"/>
        </w:numPr>
        <w:spacing w:after="0" w:line="480" w:lineRule="auto"/>
        <w:rPr>
          <w:rFonts w:ascii="Times New Roman" w:eastAsia="Times New Roman" w:hAnsi="Times New Roman" w:cs="Times New Roman"/>
          <w:sz w:val="24"/>
          <w:szCs w:val="24"/>
          <w:lang w:val="en-US"/>
        </w:rPr>
      </w:pPr>
      <w:r w:rsidRPr="00556249">
        <w:rPr>
          <w:rFonts w:ascii="Times New Roman" w:eastAsia="Times New Roman" w:hAnsi="Times New Roman" w:cs="Times New Roman"/>
          <w:sz w:val="24"/>
          <w:szCs w:val="24"/>
          <w:lang w:val="en-US"/>
        </w:rPr>
        <w:t>Disability-adjusted life years (DALYs)</w:t>
      </w:r>
    </w:p>
    <w:p w:rsidR="00556249" w:rsidRPr="00556249" w:rsidRDefault="00556249" w:rsidP="00556249">
      <w:pPr>
        <w:numPr>
          <w:ilvl w:val="0"/>
          <w:numId w:val="30"/>
        </w:numPr>
        <w:spacing w:after="0" w:line="480" w:lineRule="auto"/>
        <w:rPr>
          <w:rFonts w:ascii="Times New Roman" w:eastAsia="Times New Roman" w:hAnsi="Times New Roman" w:cs="Times New Roman"/>
          <w:sz w:val="24"/>
          <w:szCs w:val="24"/>
          <w:lang w:val="en-US"/>
        </w:rPr>
      </w:pPr>
      <w:r w:rsidRPr="00556249">
        <w:rPr>
          <w:rFonts w:ascii="Times New Roman" w:eastAsia="Times New Roman" w:hAnsi="Times New Roman" w:cs="Times New Roman"/>
          <w:sz w:val="24"/>
          <w:szCs w:val="24"/>
          <w:lang w:val="en-US"/>
        </w:rPr>
        <w:t>One-year and five-year survival rates</w:t>
      </w:r>
    </w:p>
    <w:p w:rsidR="00556249" w:rsidRPr="00556249" w:rsidRDefault="00556249" w:rsidP="00556249">
      <w:pPr>
        <w:numPr>
          <w:ilvl w:val="0"/>
          <w:numId w:val="30"/>
        </w:numPr>
        <w:spacing w:after="0" w:line="480" w:lineRule="auto"/>
        <w:rPr>
          <w:rFonts w:ascii="Times New Roman" w:eastAsia="Times New Roman" w:hAnsi="Times New Roman" w:cs="Times New Roman"/>
          <w:sz w:val="24"/>
          <w:szCs w:val="24"/>
          <w:lang w:val="en-US"/>
        </w:rPr>
      </w:pPr>
      <w:r w:rsidRPr="00556249">
        <w:rPr>
          <w:rFonts w:ascii="Times New Roman" w:eastAsia="Times New Roman" w:hAnsi="Times New Roman" w:cs="Times New Roman"/>
          <w:sz w:val="24"/>
          <w:szCs w:val="24"/>
          <w:lang w:val="en-US"/>
        </w:rPr>
        <w:t>Survival curves estimated using Kaplan–Meier analysis</w:t>
      </w:r>
    </w:p>
    <w:p w:rsidR="00566508" w:rsidRPr="007E2923" w:rsidRDefault="00556249" w:rsidP="00556249">
      <w:pPr>
        <w:numPr>
          <w:ilvl w:val="0"/>
          <w:numId w:val="30"/>
        </w:numPr>
        <w:spacing w:after="0" w:line="480" w:lineRule="auto"/>
        <w:rPr>
          <w:rFonts w:ascii="Times New Roman" w:eastAsia="Times New Roman" w:hAnsi="Times New Roman" w:cs="Times New Roman"/>
          <w:sz w:val="24"/>
          <w:szCs w:val="24"/>
          <w:lang w:val="en-US"/>
        </w:rPr>
      </w:pPr>
      <w:r w:rsidRPr="00556249">
        <w:rPr>
          <w:rFonts w:ascii="Times New Roman" w:eastAsia="Times New Roman" w:hAnsi="Times New Roman" w:cs="Times New Roman"/>
          <w:sz w:val="24"/>
          <w:szCs w:val="24"/>
          <w:lang w:val="en-US"/>
        </w:rPr>
        <w:t>Hazard ratios and risk estimates derived from Cox proportional hazards models</w:t>
      </w:r>
      <w:r w:rsidRPr="007E2923">
        <w:rPr>
          <w:rFonts w:asciiTheme="majorBidi" w:hAnsiTheme="majorBidi" w:cstheme="majorBidi"/>
          <w:sz w:val="24"/>
          <w:szCs w:val="24"/>
          <w:lang w:val="en-US"/>
        </w:rPr>
        <w:t xml:space="preserve"> </w:t>
      </w:r>
    </w:p>
    <w:p w:rsidR="00566508" w:rsidRPr="0033186D" w:rsidRDefault="00566508" w:rsidP="00566508">
      <w:pPr>
        <w:rPr>
          <w:rFonts w:asciiTheme="majorBidi" w:hAnsiTheme="majorBidi" w:cstheme="majorBidi"/>
          <w:lang w:val="en-US"/>
        </w:rPr>
      </w:pPr>
    </w:p>
    <w:p w:rsidR="00566508" w:rsidRPr="007E2923" w:rsidRDefault="00566508" w:rsidP="007D3E77">
      <w:pPr>
        <w:pStyle w:val="Titre3"/>
        <w:numPr>
          <w:ilvl w:val="0"/>
          <w:numId w:val="25"/>
        </w:numPr>
        <w:rPr>
          <w:rFonts w:asciiTheme="majorBidi" w:hAnsiTheme="majorBidi"/>
          <w:color w:val="auto"/>
        </w:rPr>
      </w:pPr>
      <w:r w:rsidRPr="007E2923">
        <w:rPr>
          <w:rStyle w:val="lev"/>
          <w:rFonts w:asciiTheme="majorBidi" w:hAnsiTheme="majorBidi"/>
          <w:color w:val="auto"/>
        </w:rPr>
        <w:t>Limitations</w:t>
      </w:r>
    </w:p>
    <w:p w:rsidR="002506EC" w:rsidRPr="007E2923" w:rsidRDefault="002506EC" w:rsidP="00566508">
      <w:pPr>
        <w:rPr>
          <w:rFonts w:asciiTheme="majorBidi" w:hAnsiTheme="majorBidi" w:cstheme="majorBidi"/>
        </w:rPr>
      </w:pPr>
    </w:p>
    <w:p w:rsidR="002506EC" w:rsidRPr="007E2923" w:rsidRDefault="002506EC" w:rsidP="000C0F17">
      <w:pPr>
        <w:pStyle w:val="NormalWeb"/>
        <w:numPr>
          <w:ilvl w:val="0"/>
          <w:numId w:val="30"/>
        </w:numPr>
        <w:spacing w:before="0" w:beforeAutospacing="0" w:after="0" w:afterAutospacing="0" w:line="480" w:lineRule="auto"/>
        <w:ind w:left="714" w:hanging="357"/>
        <w:rPr>
          <w:lang w:val="en-US"/>
        </w:rPr>
      </w:pPr>
      <w:r w:rsidRPr="007E2923">
        <w:rPr>
          <w:lang w:val="en-US"/>
        </w:rPr>
        <w:t xml:space="preserve">Missing data, including patient identifiers </w:t>
      </w:r>
    </w:p>
    <w:p w:rsidR="002506EC" w:rsidRPr="007E2923" w:rsidRDefault="002506EC" w:rsidP="002506EC">
      <w:pPr>
        <w:pStyle w:val="NormalWeb"/>
        <w:numPr>
          <w:ilvl w:val="0"/>
          <w:numId w:val="30"/>
        </w:numPr>
        <w:spacing w:before="0" w:beforeAutospacing="0" w:after="0" w:afterAutospacing="0" w:line="480" w:lineRule="auto"/>
        <w:ind w:left="714" w:hanging="357"/>
        <w:rPr>
          <w:lang w:val="en-US"/>
        </w:rPr>
      </w:pPr>
      <w:r w:rsidRPr="007E2923">
        <w:rPr>
          <w:lang w:val="en-US"/>
        </w:rPr>
        <w:t>Lack of a unique health identifier for patients, which could have facilitated data linkage and verification</w:t>
      </w:r>
    </w:p>
    <w:p w:rsidR="00566508" w:rsidRPr="007E2923" w:rsidRDefault="00566508" w:rsidP="00566508">
      <w:pPr>
        <w:rPr>
          <w:rFonts w:asciiTheme="majorBidi" w:hAnsiTheme="majorBidi" w:cstheme="majorBidi"/>
          <w:lang w:val="en-US"/>
        </w:rPr>
      </w:pPr>
    </w:p>
    <w:p w:rsidR="00566508" w:rsidRPr="007E2923" w:rsidRDefault="00566508" w:rsidP="002506EC">
      <w:pPr>
        <w:pStyle w:val="Titre3"/>
        <w:numPr>
          <w:ilvl w:val="0"/>
          <w:numId w:val="25"/>
        </w:numPr>
        <w:rPr>
          <w:rStyle w:val="lev"/>
          <w:rFonts w:asciiTheme="majorBidi" w:hAnsiTheme="majorBidi"/>
          <w:color w:val="auto"/>
          <w:lang w:val="en-US"/>
        </w:rPr>
      </w:pPr>
      <w:r w:rsidRPr="007E2923">
        <w:rPr>
          <w:rStyle w:val="lev"/>
          <w:rFonts w:asciiTheme="majorBidi" w:hAnsiTheme="majorBidi"/>
          <w:color w:val="auto"/>
          <w:lang w:val="en-US"/>
        </w:rPr>
        <w:t>Authors’ contributions / Competing interests / Data availability</w:t>
      </w:r>
    </w:p>
    <w:p w:rsidR="002506EC" w:rsidRPr="007E2923" w:rsidRDefault="002506EC" w:rsidP="002506EC">
      <w:pPr>
        <w:rPr>
          <w:lang w:val="en-US"/>
        </w:rPr>
      </w:pPr>
    </w:p>
    <w:p w:rsidR="002506EC" w:rsidRPr="007E2923" w:rsidRDefault="002506EC" w:rsidP="002506EC">
      <w:pPr>
        <w:pStyle w:val="NormalWeb"/>
        <w:spacing w:before="0" w:beforeAutospacing="0" w:after="0" w:afterAutospacing="0" w:line="480" w:lineRule="auto"/>
        <w:rPr>
          <w:rFonts w:asciiTheme="majorBidi" w:hAnsiTheme="majorBidi" w:cstheme="majorBidi"/>
          <w:lang w:val="en-US"/>
        </w:rPr>
      </w:pPr>
      <w:r w:rsidRPr="007E2923">
        <w:rPr>
          <w:rStyle w:val="lev"/>
          <w:rFonts w:asciiTheme="majorBidi" w:hAnsiTheme="majorBidi" w:cstheme="majorBidi"/>
          <w:lang w:val="en-US"/>
        </w:rPr>
        <w:t>Authors &amp; Affiliations</w:t>
      </w:r>
      <w:r w:rsidRPr="007E2923">
        <w:rPr>
          <w:rFonts w:asciiTheme="majorBidi" w:hAnsiTheme="majorBidi" w:cstheme="majorBidi"/>
          <w:lang w:val="en-US"/>
        </w:rPr>
        <w:t xml:space="preserve"> : </w:t>
      </w:r>
    </w:p>
    <w:p w:rsidR="002506EC" w:rsidRPr="007E2923" w:rsidRDefault="002506EC" w:rsidP="00B16D5B">
      <w:pPr>
        <w:spacing w:after="0" w:line="480" w:lineRule="auto"/>
        <w:jc w:val="both"/>
        <w:rPr>
          <w:rFonts w:asciiTheme="majorBidi" w:hAnsiTheme="majorBidi" w:cstheme="majorBidi"/>
          <w:sz w:val="24"/>
          <w:szCs w:val="24"/>
          <w:lang w:val="en-US"/>
        </w:rPr>
      </w:pPr>
      <w:r w:rsidRPr="007E2923">
        <w:rPr>
          <w:rFonts w:asciiTheme="majorBidi" w:hAnsiTheme="majorBidi" w:cstheme="majorBidi"/>
          <w:sz w:val="24"/>
          <w:szCs w:val="24"/>
          <w:lang w:val="en-US"/>
        </w:rPr>
        <w:t>Amani Maatouk</w:t>
      </w:r>
      <w:r w:rsidRPr="007E2923">
        <w:rPr>
          <w:rFonts w:asciiTheme="majorBidi" w:hAnsiTheme="majorBidi" w:cstheme="majorBidi"/>
          <w:sz w:val="24"/>
          <w:szCs w:val="24"/>
          <w:vertAlign w:val="superscript"/>
          <w:lang w:val="en-US"/>
        </w:rPr>
        <w:t>1,2</w:t>
      </w:r>
      <w:r w:rsidRPr="007E2923">
        <w:rPr>
          <w:rFonts w:asciiTheme="majorBidi" w:hAnsiTheme="majorBidi" w:cstheme="majorBidi"/>
          <w:sz w:val="24"/>
          <w:szCs w:val="24"/>
          <w:lang w:val="en-US"/>
        </w:rPr>
        <w:t>, Meriem Kacem</w:t>
      </w:r>
      <w:r w:rsidRPr="007E2923">
        <w:rPr>
          <w:rFonts w:asciiTheme="majorBidi" w:hAnsiTheme="majorBidi" w:cstheme="majorBidi"/>
          <w:sz w:val="24"/>
          <w:szCs w:val="24"/>
          <w:vertAlign w:val="superscript"/>
          <w:lang w:val="en-US"/>
        </w:rPr>
        <w:t>1,2,3</w:t>
      </w:r>
      <w:r w:rsidRPr="007E2923">
        <w:rPr>
          <w:rFonts w:asciiTheme="majorBidi" w:hAnsiTheme="majorBidi" w:cstheme="majorBidi"/>
          <w:sz w:val="24"/>
          <w:szCs w:val="24"/>
          <w:lang w:val="en-US"/>
        </w:rPr>
        <w:t>, Cyrine Bennasrallah</w:t>
      </w:r>
      <w:r w:rsidRPr="007E2923">
        <w:rPr>
          <w:rFonts w:asciiTheme="majorBidi" w:hAnsiTheme="majorBidi" w:cstheme="majorBidi"/>
          <w:sz w:val="24"/>
          <w:szCs w:val="24"/>
          <w:vertAlign w:val="superscript"/>
          <w:lang w:val="en-US"/>
        </w:rPr>
        <w:t>1,2,3</w:t>
      </w:r>
      <w:r w:rsidRPr="007E2923">
        <w:rPr>
          <w:rFonts w:asciiTheme="majorBidi" w:hAnsiTheme="majorBidi" w:cstheme="majorBidi"/>
          <w:sz w:val="24"/>
          <w:szCs w:val="24"/>
          <w:lang w:val="en-US"/>
        </w:rPr>
        <w:t>, Wafa Dhouib</w:t>
      </w:r>
      <w:r w:rsidRPr="007E2923">
        <w:rPr>
          <w:rFonts w:asciiTheme="majorBidi" w:hAnsiTheme="majorBidi" w:cstheme="majorBidi"/>
          <w:sz w:val="24"/>
          <w:szCs w:val="24"/>
          <w:vertAlign w:val="superscript"/>
          <w:lang w:val="en-US"/>
        </w:rPr>
        <w:t>1,2,3</w:t>
      </w:r>
      <w:r w:rsidRPr="007E2923">
        <w:rPr>
          <w:rFonts w:asciiTheme="majorBidi" w:hAnsiTheme="majorBidi" w:cstheme="majorBidi"/>
          <w:sz w:val="24"/>
          <w:szCs w:val="24"/>
          <w:lang w:val="en-US"/>
        </w:rPr>
        <w:t>, Manel Bouatay</w:t>
      </w:r>
      <w:r w:rsidRPr="007E2923">
        <w:rPr>
          <w:rFonts w:asciiTheme="majorBidi" w:hAnsiTheme="majorBidi" w:cstheme="majorBidi"/>
          <w:sz w:val="24"/>
          <w:szCs w:val="24"/>
          <w:vertAlign w:val="superscript"/>
          <w:lang w:val="en-US"/>
        </w:rPr>
        <w:t>5</w:t>
      </w:r>
      <w:r w:rsidRPr="007E2923">
        <w:rPr>
          <w:rFonts w:asciiTheme="majorBidi" w:hAnsiTheme="majorBidi" w:cstheme="majorBidi"/>
          <w:sz w:val="24"/>
          <w:szCs w:val="24"/>
          <w:lang w:val="en-US"/>
        </w:rPr>
        <w:t>, Amel Gara</w:t>
      </w:r>
      <w:r w:rsidRPr="007E2923">
        <w:rPr>
          <w:rFonts w:asciiTheme="majorBidi" w:hAnsiTheme="majorBidi" w:cstheme="majorBidi"/>
          <w:sz w:val="24"/>
          <w:szCs w:val="24"/>
          <w:vertAlign w:val="superscript"/>
          <w:lang w:val="en-US"/>
        </w:rPr>
        <w:t>1,2</w:t>
      </w:r>
      <w:r w:rsidRPr="007E2923">
        <w:rPr>
          <w:rFonts w:asciiTheme="majorBidi" w:hAnsiTheme="majorBidi" w:cstheme="majorBidi"/>
          <w:sz w:val="24"/>
          <w:szCs w:val="24"/>
          <w:lang w:val="en-US"/>
        </w:rPr>
        <w:t xml:space="preserve">, </w:t>
      </w:r>
      <w:hyperlink r:id="rId22" w:history="1">
        <w:r w:rsidRPr="007E2923">
          <w:rPr>
            <w:rFonts w:asciiTheme="majorBidi" w:hAnsiTheme="majorBidi" w:cstheme="majorBidi"/>
            <w:sz w:val="24"/>
            <w:szCs w:val="24"/>
            <w:lang w:val="en-US"/>
          </w:rPr>
          <w:t>Manel Njima</w:t>
        </w:r>
      </w:hyperlink>
      <w:r w:rsidRPr="007E2923">
        <w:rPr>
          <w:rFonts w:asciiTheme="majorBidi" w:hAnsiTheme="majorBidi" w:cstheme="majorBidi"/>
          <w:sz w:val="24"/>
          <w:szCs w:val="24"/>
          <w:vertAlign w:val="superscript"/>
          <w:lang w:val="en-US"/>
        </w:rPr>
        <w:t>7</w:t>
      </w:r>
      <w:r w:rsidRPr="007E2923">
        <w:rPr>
          <w:rFonts w:asciiTheme="majorBidi" w:hAnsiTheme="majorBidi" w:cstheme="majorBidi"/>
          <w:sz w:val="24"/>
          <w:szCs w:val="24"/>
          <w:lang w:val="en-US"/>
        </w:rPr>
        <w:t>, Moncef Mokni</w:t>
      </w:r>
      <w:r w:rsidRPr="007E2923">
        <w:rPr>
          <w:rFonts w:asciiTheme="majorBidi" w:hAnsiTheme="majorBidi" w:cstheme="majorBidi"/>
          <w:sz w:val="24"/>
          <w:szCs w:val="24"/>
          <w:vertAlign w:val="superscript"/>
          <w:lang w:val="en-US"/>
        </w:rPr>
        <w:t>6,8</w:t>
      </w:r>
      <w:r w:rsidRPr="007E2923">
        <w:rPr>
          <w:rFonts w:asciiTheme="majorBidi" w:hAnsiTheme="majorBidi" w:cstheme="majorBidi"/>
          <w:sz w:val="24"/>
          <w:szCs w:val="24"/>
          <w:lang w:val="en-US"/>
        </w:rPr>
        <w:t>,</w:t>
      </w:r>
      <w:r w:rsidR="009466B6">
        <w:rPr>
          <w:rFonts w:asciiTheme="majorBidi" w:hAnsiTheme="majorBidi" w:cstheme="majorBidi"/>
          <w:sz w:val="24"/>
          <w:szCs w:val="24"/>
          <w:lang w:val="en-US"/>
        </w:rPr>
        <w:t xml:space="preserve"> </w:t>
      </w:r>
      <w:r w:rsidR="009466B6" w:rsidRPr="009466B6">
        <w:rPr>
          <w:rFonts w:asciiTheme="majorBidi" w:hAnsiTheme="majorBidi" w:cstheme="majorBidi"/>
          <w:sz w:val="24"/>
          <w:szCs w:val="24"/>
          <w:lang w:val="en-US"/>
        </w:rPr>
        <w:t>Sonia Zaied</w:t>
      </w:r>
      <w:r w:rsidR="009466B6" w:rsidRPr="009466B6">
        <w:rPr>
          <w:rFonts w:asciiTheme="majorBidi" w:hAnsiTheme="majorBidi" w:cstheme="majorBidi"/>
          <w:sz w:val="24"/>
          <w:szCs w:val="24"/>
          <w:vertAlign w:val="superscript"/>
          <w:lang w:val="en-US"/>
        </w:rPr>
        <w:t>9</w:t>
      </w:r>
      <w:r w:rsidR="009466B6">
        <w:rPr>
          <w:rFonts w:asciiTheme="majorBidi" w:hAnsiTheme="majorBidi" w:cstheme="majorBidi"/>
          <w:sz w:val="24"/>
          <w:szCs w:val="24"/>
          <w:lang w:val="en-US"/>
        </w:rPr>
        <w:t>,</w:t>
      </w:r>
      <w:r w:rsidRPr="007E2923">
        <w:rPr>
          <w:rFonts w:asciiTheme="majorBidi" w:hAnsiTheme="majorBidi" w:cstheme="majorBidi"/>
          <w:sz w:val="24"/>
          <w:szCs w:val="24"/>
          <w:lang w:val="en-US"/>
        </w:rPr>
        <w:t xml:space="preserve"> Ines Bouanene</w:t>
      </w:r>
      <w:r w:rsidRPr="007E2923">
        <w:rPr>
          <w:rFonts w:asciiTheme="majorBidi" w:hAnsiTheme="majorBidi" w:cstheme="majorBidi"/>
          <w:sz w:val="24"/>
          <w:szCs w:val="24"/>
          <w:vertAlign w:val="superscript"/>
          <w:lang w:val="en-US"/>
        </w:rPr>
        <w:t>1,2,3</w:t>
      </w:r>
      <w:r w:rsidRPr="007E2923">
        <w:rPr>
          <w:rFonts w:asciiTheme="majorBidi" w:hAnsiTheme="majorBidi" w:cstheme="majorBidi"/>
          <w:sz w:val="24"/>
          <w:szCs w:val="24"/>
          <w:lang w:val="en-US"/>
        </w:rPr>
        <w:t>, Asma Belguith Sriha</w:t>
      </w:r>
      <w:r w:rsidRPr="007E2923">
        <w:rPr>
          <w:rFonts w:asciiTheme="majorBidi" w:hAnsiTheme="majorBidi" w:cstheme="majorBidi"/>
          <w:sz w:val="24"/>
          <w:szCs w:val="24"/>
          <w:vertAlign w:val="superscript"/>
          <w:lang w:val="en-US"/>
        </w:rPr>
        <w:t>1,2,3,</w:t>
      </w:r>
      <w:r w:rsidRPr="007E2923">
        <w:rPr>
          <w:rFonts w:asciiTheme="majorBidi" w:hAnsiTheme="majorBidi" w:cstheme="majorBidi"/>
          <w:sz w:val="24"/>
          <w:szCs w:val="24"/>
          <w:lang w:val="en-US"/>
        </w:rPr>
        <w:t xml:space="preserve">, </w:t>
      </w:r>
      <w:r w:rsidR="00B16D5B" w:rsidRPr="007E2923">
        <w:rPr>
          <w:rFonts w:asciiTheme="majorBidi" w:hAnsiTheme="majorBidi" w:cstheme="majorBidi"/>
          <w:sz w:val="24"/>
          <w:szCs w:val="24"/>
          <w:lang w:val="en-US"/>
        </w:rPr>
        <w:t>Imen Zemni</w:t>
      </w:r>
      <w:r w:rsidR="00B16D5B" w:rsidRPr="007E2923">
        <w:rPr>
          <w:rFonts w:asciiTheme="majorBidi" w:hAnsiTheme="majorBidi" w:cstheme="majorBidi"/>
          <w:sz w:val="24"/>
          <w:szCs w:val="24"/>
          <w:vertAlign w:val="superscript"/>
          <w:lang w:val="en-US"/>
        </w:rPr>
        <w:t>1,2,3</w:t>
      </w:r>
    </w:p>
    <w:p w:rsidR="002506EC" w:rsidRPr="007E2923" w:rsidRDefault="002506EC" w:rsidP="002506EC">
      <w:pPr>
        <w:spacing w:after="0" w:line="480" w:lineRule="auto"/>
        <w:ind w:left="360"/>
        <w:jc w:val="both"/>
        <w:rPr>
          <w:rFonts w:asciiTheme="majorBidi" w:hAnsiTheme="majorBidi" w:cstheme="majorBidi"/>
          <w:sz w:val="24"/>
          <w:szCs w:val="24"/>
          <w:lang w:val="en-US"/>
        </w:rPr>
      </w:pPr>
      <w:r w:rsidRPr="007E2923">
        <w:rPr>
          <w:rFonts w:asciiTheme="majorBidi" w:hAnsiTheme="majorBidi" w:cstheme="majorBidi"/>
          <w:sz w:val="24"/>
          <w:szCs w:val="24"/>
          <w:vertAlign w:val="superscript"/>
          <w:lang w:val="en-US"/>
        </w:rPr>
        <w:t>1</w:t>
      </w:r>
      <w:r w:rsidRPr="007E2923">
        <w:rPr>
          <w:rFonts w:asciiTheme="majorBidi" w:hAnsiTheme="majorBidi" w:cstheme="majorBidi"/>
          <w:sz w:val="24"/>
          <w:szCs w:val="24"/>
          <w:lang w:val="en-US"/>
        </w:rPr>
        <w:t xml:space="preserve"> Department of Epidemiology and Preventive Medicine, University Hospital Fattouma Bourguiba of Monastir, Tunisia</w:t>
      </w:r>
    </w:p>
    <w:p w:rsidR="002506EC" w:rsidRPr="007E2923" w:rsidRDefault="002506EC" w:rsidP="002506EC">
      <w:pPr>
        <w:spacing w:after="0" w:line="480" w:lineRule="auto"/>
        <w:ind w:left="360"/>
        <w:jc w:val="both"/>
        <w:rPr>
          <w:rFonts w:asciiTheme="majorBidi" w:hAnsiTheme="majorBidi" w:cstheme="majorBidi"/>
          <w:sz w:val="24"/>
          <w:szCs w:val="24"/>
          <w:lang w:val="en-US"/>
        </w:rPr>
      </w:pPr>
      <w:r w:rsidRPr="007E2923">
        <w:rPr>
          <w:rFonts w:asciiTheme="majorBidi" w:hAnsiTheme="majorBidi" w:cstheme="majorBidi"/>
          <w:sz w:val="24"/>
          <w:szCs w:val="24"/>
          <w:vertAlign w:val="superscript"/>
          <w:lang w:val="en-US"/>
        </w:rPr>
        <w:t>2</w:t>
      </w:r>
      <w:r w:rsidRPr="007E2923">
        <w:rPr>
          <w:rFonts w:asciiTheme="majorBidi" w:hAnsiTheme="majorBidi" w:cstheme="majorBidi"/>
          <w:sz w:val="24"/>
          <w:szCs w:val="24"/>
          <w:lang w:val="en-US"/>
        </w:rPr>
        <w:t xml:space="preserve"> Department of Community Medicine, Faculty of Medicine, University of Monastir, Tunisia</w:t>
      </w:r>
    </w:p>
    <w:p w:rsidR="002506EC" w:rsidRPr="007E2923" w:rsidRDefault="002506EC" w:rsidP="002506EC">
      <w:pPr>
        <w:spacing w:after="0" w:line="480" w:lineRule="auto"/>
        <w:ind w:left="360"/>
        <w:jc w:val="both"/>
        <w:rPr>
          <w:rFonts w:asciiTheme="majorBidi" w:hAnsiTheme="majorBidi" w:cstheme="majorBidi"/>
          <w:sz w:val="24"/>
          <w:szCs w:val="24"/>
          <w:shd w:val="clear" w:color="auto" w:fill="FFFFFF"/>
          <w:lang w:val="en-US"/>
        </w:rPr>
      </w:pPr>
      <w:r w:rsidRPr="007E2923">
        <w:rPr>
          <w:rFonts w:asciiTheme="majorBidi" w:hAnsiTheme="majorBidi" w:cstheme="majorBidi"/>
          <w:sz w:val="24"/>
          <w:szCs w:val="24"/>
          <w:vertAlign w:val="superscript"/>
          <w:lang w:val="en-US"/>
        </w:rPr>
        <w:t>3</w:t>
      </w:r>
      <w:r w:rsidRPr="007E2923">
        <w:rPr>
          <w:rFonts w:asciiTheme="majorBidi" w:hAnsiTheme="majorBidi" w:cstheme="majorBidi"/>
          <w:sz w:val="24"/>
          <w:szCs w:val="24"/>
          <w:lang w:val="en-US"/>
        </w:rPr>
        <w:t xml:space="preserve"> Research Laboratory Technology and Medical Imaging - LTIM - LR12ES06, University of Monastir, Tunisia</w:t>
      </w:r>
    </w:p>
    <w:p w:rsidR="002506EC" w:rsidRPr="007E2923" w:rsidRDefault="002506EC" w:rsidP="002506EC">
      <w:pPr>
        <w:spacing w:after="0" w:line="480" w:lineRule="auto"/>
        <w:ind w:left="360"/>
        <w:jc w:val="both"/>
        <w:rPr>
          <w:rFonts w:asciiTheme="majorBidi" w:hAnsiTheme="majorBidi" w:cstheme="majorBidi"/>
          <w:sz w:val="24"/>
          <w:szCs w:val="24"/>
          <w:lang w:val="en-US"/>
        </w:rPr>
      </w:pPr>
      <w:r w:rsidRPr="007E2923">
        <w:rPr>
          <w:rFonts w:asciiTheme="majorBidi" w:hAnsiTheme="majorBidi" w:cstheme="majorBidi"/>
          <w:sz w:val="24"/>
          <w:szCs w:val="24"/>
          <w:vertAlign w:val="superscript"/>
          <w:lang w:val="en-US"/>
        </w:rPr>
        <w:t>4</w:t>
      </w:r>
      <w:r w:rsidRPr="007E2923">
        <w:rPr>
          <w:rFonts w:asciiTheme="majorBidi" w:hAnsiTheme="majorBidi" w:cstheme="majorBidi"/>
          <w:sz w:val="24"/>
          <w:szCs w:val="24"/>
          <w:lang w:val="en-US"/>
        </w:rPr>
        <w:t xml:space="preserve"> Department of Intensive Care Medicine and Clinical Toxicology, Montfleury, Tunis, Tunisia</w:t>
      </w:r>
    </w:p>
    <w:p w:rsidR="002506EC" w:rsidRPr="007E2923" w:rsidRDefault="002506EC" w:rsidP="002506EC">
      <w:pPr>
        <w:spacing w:after="0" w:line="480" w:lineRule="auto"/>
        <w:ind w:left="360"/>
        <w:jc w:val="both"/>
        <w:rPr>
          <w:rFonts w:asciiTheme="majorBidi" w:hAnsiTheme="majorBidi" w:cstheme="majorBidi"/>
          <w:sz w:val="24"/>
          <w:szCs w:val="24"/>
          <w:lang w:val="en-US"/>
        </w:rPr>
      </w:pPr>
      <w:r w:rsidRPr="007E2923">
        <w:rPr>
          <w:rFonts w:asciiTheme="majorBidi" w:hAnsiTheme="majorBidi" w:cstheme="majorBidi"/>
          <w:sz w:val="24"/>
          <w:szCs w:val="24"/>
          <w:vertAlign w:val="superscript"/>
          <w:lang w:val="en-US"/>
        </w:rPr>
        <w:t>5</w:t>
      </w:r>
      <w:r w:rsidRPr="007E2923">
        <w:rPr>
          <w:rFonts w:asciiTheme="majorBidi" w:hAnsiTheme="majorBidi" w:cstheme="majorBidi"/>
          <w:sz w:val="24"/>
          <w:szCs w:val="24"/>
          <w:lang w:val="en-US"/>
        </w:rPr>
        <w:t xml:space="preserve"> Department of Family Medicine, University of Monastir, Tunisia</w:t>
      </w:r>
    </w:p>
    <w:p w:rsidR="002506EC" w:rsidRPr="007E2923" w:rsidRDefault="002506EC" w:rsidP="002506EC">
      <w:pPr>
        <w:spacing w:after="0" w:line="480" w:lineRule="auto"/>
        <w:ind w:left="360"/>
        <w:jc w:val="both"/>
        <w:rPr>
          <w:rFonts w:asciiTheme="majorBidi" w:hAnsiTheme="majorBidi" w:cstheme="majorBidi"/>
          <w:sz w:val="24"/>
          <w:szCs w:val="24"/>
          <w:lang w:val="en-US"/>
        </w:rPr>
      </w:pPr>
      <w:r w:rsidRPr="007E2923">
        <w:rPr>
          <w:rFonts w:asciiTheme="majorBidi" w:hAnsiTheme="majorBidi" w:cstheme="majorBidi"/>
          <w:sz w:val="24"/>
          <w:szCs w:val="24"/>
          <w:vertAlign w:val="superscript"/>
          <w:lang w:val="en-US"/>
        </w:rPr>
        <w:t>6</w:t>
      </w:r>
      <w:r w:rsidRPr="007E2923">
        <w:rPr>
          <w:rFonts w:asciiTheme="majorBidi" w:hAnsiTheme="majorBidi" w:cstheme="majorBidi"/>
          <w:sz w:val="24"/>
          <w:szCs w:val="24"/>
          <w:lang w:val="en-US"/>
        </w:rPr>
        <w:t xml:space="preserve"> Cancer Registry of the Centre of Tunisia, Farhet Hached University Hospital, Sousse, Tunisia</w:t>
      </w:r>
    </w:p>
    <w:p w:rsidR="002506EC" w:rsidRPr="007E2923" w:rsidRDefault="002506EC" w:rsidP="002506EC">
      <w:pPr>
        <w:spacing w:after="0" w:line="480" w:lineRule="auto"/>
        <w:ind w:left="360"/>
        <w:jc w:val="both"/>
        <w:rPr>
          <w:rFonts w:asciiTheme="majorBidi" w:hAnsiTheme="majorBidi" w:cstheme="majorBidi"/>
          <w:sz w:val="24"/>
          <w:szCs w:val="24"/>
          <w:lang w:val="en-US"/>
        </w:rPr>
      </w:pPr>
      <w:r w:rsidRPr="007E2923">
        <w:rPr>
          <w:rFonts w:asciiTheme="majorBidi" w:hAnsiTheme="majorBidi" w:cstheme="majorBidi"/>
          <w:sz w:val="24"/>
          <w:szCs w:val="24"/>
          <w:vertAlign w:val="superscript"/>
          <w:lang w:val="en-US"/>
        </w:rPr>
        <w:t xml:space="preserve">7 </w:t>
      </w:r>
      <w:r w:rsidRPr="007E2923">
        <w:rPr>
          <w:rFonts w:asciiTheme="majorBidi" w:hAnsiTheme="majorBidi" w:cstheme="majorBidi"/>
          <w:sz w:val="24"/>
          <w:szCs w:val="24"/>
          <w:lang w:val="en-US"/>
        </w:rPr>
        <w:t>Department of Pathology, University Hospital Fattouma Bourguiba of Monastir, Tunisia</w:t>
      </w:r>
    </w:p>
    <w:p w:rsidR="002506EC" w:rsidRDefault="002506EC" w:rsidP="002506EC">
      <w:pPr>
        <w:spacing w:after="0" w:line="480" w:lineRule="auto"/>
        <w:ind w:left="360"/>
        <w:jc w:val="both"/>
        <w:rPr>
          <w:rFonts w:asciiTheme="majorBidi" w:hAnsiTheme="majorBidi" w:cstheme="majorBidi"/>
          <w:sz w:val="24"/>
          <w:szCs w:val="24"/>
          <w:lang w:val="en-US"/>
        </w:rPr>
      </w:pPr>
      <w:r w:rsidRPr="007E2923">
        <w:rPr>
          <w:rFonts w:asciiTheme="majorBidi" w:hAnsiTheme="majorBidi" w:cstheme="majorBidi"/>
          <w:sz w:val="24"/>
          <w:szCs w:val="24"/>
          <w:vertAlign w:val="superscript"/>
          <w:lang w:val="en-US"/>
        </w:rPr>
        <w:t>8</w:t>
      </w:r>
      <w:r w:rsidRPr="007E2923">
        <w:rPr>
          <w:rFonts w:asciiTheme="majorBidi" w:hAnsiTheme="majorBidi" w:cstheme="majorBidi"/>
          <w:sz w:val="24"/>
          <w:szCs w:val="24"/>
          <w:lang w:val="en-US"/>
        </w:rPr>
        <w:t xml:space="preserve"> Department of Pathology, Farhet Hached University Hospital, Sousse, Tunisia</w:t>
      </w:r>
    </w:p>
    <w:p w:rsidR="009466B6" w:rsidRPr="007E2923" w:rsidRDefault="009466B6" w:rsidP="002506EC">
      <w:pPr>
        <w:spacing w:after="0" w:line="480" w:lineRule="auto"/>
        <w:ind w:left="360"/>
        <w:jc w:val="both"/>
        <w:rPr>
          <w:rFonts w:asciiTheme="majorBidi" w:hAnsiTheme="majorBidi" w:cstheme="majorBidi"/>
          <w:sz w:val="24"/>
          <w:szCs w:val="24"/>
          <w:lang w:val="en-US"/>
        </w:rPr>
      </w:pPr>
      <w:r w:rsidRPr="009466B6">
        <w:rPr>
          <w:rFonts w:asciiTheme="majorBidi" w:hAnsiTheme="majorBidi" w:cstheme="majorBidi"/>
          <w:sz w:val="24"/>
          <w:szCs w:val="24"/>
          <w:vertAlign w:val="superscript"/>
          <w:lang w:val="en-US"/>
        </w:rPr>
        <w:t>9</w:t>
      </w:r>
      <w:r>
        <w:rPr>
          <w:rFonts w:asciiTheme="majorBidi" w:hAnsiTheme="majorBidi" w:cstheme="majorBidi"/>
          <w:sz w:val="24"/>
          <w:szCs w:val="24"/>
          <w:lang w:val="en-US"/>
        </w:rPr>
        <w:t xml:space="preserve">: </w:t>
      </w:r>
      <w:r w:rsidRPr="009466B6">
        <w:rPr>
          <w:rFonts w:asciiTheme="majorBidi" w:hAnsiTheme="majorBidi" w:cstheme="majorBidi"/>
          <w:sz w:val="24"/>
          <w:szCs w:val="24"/>
          <w:lang w:val="en-US"/>
        </w:rPr>
        <w:t>Department of oncology, University Hospital Fattouma Bourguiba of Monastir, Faculty of medicine of Monastir, Monastir, Tunisia.</w:t>
      </w:r>
    </w:p>
    <w:p w:rsidR="002506EC" w:rsidRPr="007E2923" w:rsidRDefault="002506EC" w:rsidP="002506EC">
      <w:pPr>
        <w:pStyle w:val="Paragraphedeliste"/>
        <w:spacing w:after="0" w:line="480" w:lineRule="auto"/>
        <w:ind w:left="0"/>
        <w:rPr>
          <w:rFonts w:asciiTheme="majorBidi" w:eastAsia="Times New Roman" w:hAnsiTheme="majorBidi" w:cstheme="majorBidi"/>
          <w:sz w:val="24"/>
          <w:szCs w:val="24"/>
          <w:lang w:val="en-US" w:eastAsia="fr-FR"/>
        </w:rPr>
      </w:pPr>
      <w:r w:rsidRPr="007E2923">
        <w:rPr>
          <w:rFonts w:asciiTheme="majorBidi" w:eastAsia="Times New Roman" w:hAnsiTheme="majorBidi" w:cstheme="majorBidi"/>
          <w:b/>
          <w:bCs/>
          <w:sz w:val="24"/>
          <w:szCs w:val="24"/>
          <w:lang w:val="en-US" w:eastAsia="fr-FR"/>
        </w:rPr>
        <w:t xml:space="preserve">Conceptualization: </w:t>
      </w:r>
      <w:r w:rsidRPr="007E2923">
        <w:rPr>
          <w:rFonts w:asciiTheme="majorBidi" w:hAnsiTheme="majorBidi" w:cstheme="majorBidi"/>
          <w:sz w:val="24"/>
          <w:szCs w:val="24"/>
          <w:lang w:val="en-US"/>
        </w:rPr>
        <w:t>Amani Maatouk, Imen Zemni, Asma Belguith Sriha</w:t>
      </w:r>
    </w:p>
    <w:p w:rsidR="002506EC" w:rsidRPr="007E2923" w:rsidRDefault="002506EC" w:rsidP="007648EE">
      <w:pPr>
        <w:spacing w:after="0" w:line="480" w:lineRule="auto"/>
        <w:rPr>
          <w:rFonts w:asciiTheme="majorBidi" w:eastAsia="Times New Roman" w:hAnsiTheme="majorBidi" w:cstheme="majorBidi"/>
          <w:sz w:val="24"/>
          <w:szCs w:val="24"/>
          <w:lang w:val="en-US" w:eastAsia="fr-FR"/>
        </w:rPr>
      </w:pPr>
      <w:r w:rsidRPr="007E2923">
        <w:rPr>
          <w:rFonts w:asciiTheme="majorBidi" w:eastAsia="Times New Roman" w:hAnsiTheme="majorBidi" w:cstheme="majorBidi"/>
          <w:b/>
          <w:bCs/>
          <w:sz w:val="24"/>
          <w:szCs w:val="24"/>
          <w:lang w:val="en-US" w:eastAsia="fr-FR"/>
        </w:rPr>
        <w:t>Methodology:</w:t>
      </w:r>
      <w:r w:rsidRPr="007E2923">
        <w:rPr>
          <w:rFonts w:asciiTheme="majorBidi" w:eastAsia="Times New Roman" w:hAnsiTheme="majorBidi" w:cstheme="majorBidi"/>
          <w:sz w:val="24"/>
          <w:szCs w:val="24"/>
          <w:lang w:val="en-US" w:eastAsia="fr-FR"/>
        </w:rPr>
        <w:t xml:space="preserve"> Amani Maatouk, Imen Zemni, Manel Bouatay, Amel Gara, Meriem Kacem</w:t>
      </w:r>
    </w:p>
    <w:p w:rsidR="002506EC" w:rsidRPr="007E2923" w:rsidRDefault="002506EC" w:rsidP="002506EC">
      <w:pPr>
        <w:spacing w:after="0" w:line="480" w:lineRule="auto"/>
        <w:rPr>
          <w:rFonts w:asciiTheme="majorBidi" w:eastAsia="Times New Roman" w:hAnsiTheme="majorBidi" w:cstheme="majorBidi"/>
          <w:sz w:val="24"/>
          <w:szCs w:val="24"/>
          <w:lang w:val="en-US" w:eastAsia="fr-FR"/>
        </w:rPr>
      </w:pPr>
      <w:r w:rsidRPr="007E2923">
        <w:rPr>
          <w:rFonts w:asciiTheme="majorBidi" w:eastAsia="Times New Roman" w:hAnsiTheme="majorBidi" w:cstheme="majorBidi"/>
          <w:b/>
          <w:bCs/>
          <w:sz w:val="24"/>
          <w:szCs w:val="24"/>
          <w:lang w:val="en-US" w:eastAsia="fr-FR"/>
        </w:rPr>
        <w:t>Project administration:</w:t>
      </w:r>
      <w:r w:rsidRPr="007E2923">
        <w:rPr>
          <w:rFonts w:asciiTheme="majorBidi" w:eastAsia="Times New Roman" w:hAnsiTheme="majorBidi" w:cstheme="majorBidi"/>
          <w:sz w:val="24"/>
          <w:szCs w:val="24"/>
          <w:lang w:val="en-US" w:eastAsia="fr-FR"/>
        </w:rPr>
        <w:t xml:space="preserve"> </w:t>
      </w:r>
      <w:r w:rsidRPr="007E2923">
        <w:rPr>
          <w:rFonts w:asciiTheme="majorBidi" w:eastAsia="Times New Roman" w:hAnsiTheme="majorBidi" w:cstheme="majorBidi"/>
          <w:sz w:val="24"/>
          <w:szCs w:val="24"/>
          <w:vertAlign w:val="superscript"/>
          <w:lang w:val="en-US" w:eastAsia="fr-FR"/>
        </w:rPr>
        <w:t>,</w:t>
      </w:r>
      <w:r w:rsidRPr="007E2923">
        <w:rPr>
          <w:rFonts w:asciiTheme="majorBidi" w:eastAsia="Times New Roman" w:hAnsiTheme="majorBidi" w:cstheme="majorBidi"/>
          <w:sz w:val="24"/>
          <w:szCs w:val="24"/>
          <w:lang w:val="en-US" w:eastAsia="fr-FR"/>
        </w:rPr>
        <w:t>, Imen Zemni, Asma Belguith Sriha</w:t>
      </w:r>
    </w:p>
    <w:p w:rsidR="002506EC" w:rsidRPr="007E2923" w:rsidRDefault="002506EC" w:rsidP="007648EE">
      <w:pPr>
        <w:spacing w:after="0" w:line="480" w:lineRule="auto"/>
        <w:rPr>
          <w:rFonts w:asciiTheme="majorBidi" w:eastAsia="Times New Roman" w:hAnsiTheme="majorBidi" w:cstheme="majorBidi"/>
          <w:sz w:val="24"/>
          <w:szCs w:val="24"/>
          <w:vertAlign w:val="superscript"/>
          <w:lang w:val="en-US" w:eastAsia="fr-FR"/>
        </w:rPr>
      </w:pPr>
      <w:r w:rsidRPr="007E2923">
        <w:rPr>
          <w:rFonts w:asciiTheme="majorBidi" w:eastAsia="Times New Roman" w:hAnsiTheme="majorBidi" w:cstheme="majorBidi"/>
          <w:b/>
          <w:bCs/>
          <w:sz w:val="24"/>
          <w:szCs w:val="24"/>
          <w:lang w:val="en-US" w:eastAsia="fr-FR"/>
        </w:rPr>
        <w:t>Supervision:</w:t>
      </w:r>
      <w:r w:rsidRPr="007E2923">
        <w:rPr>
          <w:rFonts w:asciiTheme="majorBidi" w:eastAsia="Times New Roman" w:hAnsiTheme="majorBidi" w:cstheme="majorBidi"/>
          <w:sz w:val="24"/>
          <w:szCs w:val="24"/>
          <w:lang w:val="en-US" w:eastAsia="fr-FR"/>
        </w:rPr>
        <w:t xml:space="preserve"> </w:t>
      </w:r>
      <w:hyperlink r:id="rId23" w:history="1">
        <w:r w:rsidRPr="007E2923">
          <w:rPr>
            <w:rFonts w:asciiTheme="majorBidi" w:eastAsia="Times New Roman" w:hAnsiTheme="majorBidi" w:cstheme="majorBidi"/>
            <w:sz w:val="24"/>
            <w:szCs w:val="24"/>
            <w:lang w:val="en-US" w:eastAsia="fr-FR"/>
          </w:rPr>
          <w:t>Manel Njima</w:t>
        </w:r>
      </w:hyperlink>
      <w:r w:rsidRPr="007E2923">
        <w:rPr>
          <w:rFonts w:asciiTheme="majorBidi" w:eastAsia="Times New Roman" w:hAnsiTheme="majorBidi" w:cstheme="majorBidi"/>
          <w:sz w:val="24"/>
          <w:szCs w:val="24"/>
          <w:lang w:val="en-US" w:eastAsia="fr-FR"/>
        </w:rPr>
        <w:t xml:space="preserve">, </w:t>
      </w:r>
      <w:r w:rsidR="007648EE">
        <w:rPr>
          <w:rFonts w:asciiTheme="majorBidi" w:eastAsia="Times New Roman" w:hAnsiTheme="majorBidi" w:cstheme="majorBidi"/>
          <w:sz w:val="24"/>
          <w:szCs w:val="24"/>
          <w:lang w:val="en-US" w:eastAsia="fr-FR"/>
        </w:rPr>
        <w:t>Sonia Z</w:t>
      </w:r>
      <w:bookmarkStart w:id="0" w:name="_GoBack"/>
      <w:bookmarkEnd w:id="0"/>
      <w:r w:rsidR="007648EE">
        <w:rPr>
          <w:rFonts w:asciiTheme="majorBidi" w:eastAsia="Times New Roman" w:hAnsiTheme="majorBidi" w:cstheme="majorBidi"/>
          <w:sz w:val="24"/>
          <w:szCs w:val="24"/>
          <w:lang w:val="en-US" w:eastAsia="fr-FR"/>
        </w:rPr>
        <w:t xml:space="preserve">aied, </w:t>
      </w:r>
      <w:r w:rsidRPr="007E2923">
        <w:rPr>
          <w:rFonts w:asciiTheme="majorBidi" w:eastAsia="Times New Roman" w:hAnsiTheme="majorBidi" w:cstheme="majorBidi"/>
          <w:sz w:val="24"/>
          <w:szCs w:val="24"/>
          <w:lang w:val="en-US" w:eastAsia="fr-FR"/>
        </w:rPr>
        <w:t xml:space="preserve"> Moncef Mokni, Ines Bouanene, Asma Belguith Sriha</w:t>
      </w:r>
    </w:p>
    <w:p w:rsidR="002506EC" w:rsidRPr="007E2923" w:rsidRDefault="002506EC" w:rsidP="002506EC">
      <w:pPr>
        <w:spacing w:after="0" w:line="480" w:lineRule="auto"/>
        <w:rPr>
          <w:rFonts w:asciiTheme="majorBidi" w:eastAsia="Times New Roman" w:hAnsiTheme="majorBidi" w:cstheme="majorBidi"/>
          <w:sz w:val="24"/>
          <w:szCs w:val="24"/>
          <w:vertAlign w:val="superscript"/>
          <w:lang w:val="en-US" w:eastAsia="fr-FR"/>
        </w:rPr>
      </w:pPr>
      <w:r w:rsidRPr="007E2923">
        <w:rPr>
          <w:rFonts w:asciiTheme="majorBidi" w:eastAsia="Times New Roman" w:hAnsiTheme="majorBidi" w:cstheme="majorBidi"/>
          <w:b/>
          <w:bCs/>
          <w:sz w:val="24"/>
          <w:szCs w:val="24"/>
          <w:lang w:val="en-US" w:eastAsia="fr-FR"/>
        </w:rPr>
        <w:t>Visualization:</w:t>
      </w:r>
      <w:r w:rsidRPr="007E2923">
        <w:rPr>
          <w:rFonts w:asciiTheme="majorBidi" w:eastAsia="Times New Roman" w:hAnsiTheme="majorBidi" w:cstheme="majorBidi"/>
          <w:sz w:val="24"/>
          <w:szCs w:val="24"/>
          <w:lang w:val="en-US" w:eastAsia="fr-FR"/>
        </w:rPr>
        <w:t xml:space="preserve"> Ines Bouanene, Asma Belguith Sriha</w:t>
      </w:r>
    </w:p>
    <w:p w:rsidR="002506EC" w:rsidRPr="007E2923" w:rsidRDefault="002506EC" w:rsidP="007648EE">
      <w:pPr>
        <w:spacing w:after="0" w:line="480" w:lineRule="auto"/>
        <w:rPr>
          <w:rFonts w:asciiTheme="majorBidi" w:eastAsia="Times New Roman" w:hAnsiTheme="majorBidi" w:cstheme="majorBidi"/>
          <w:sz w:val="24"/>
          <w:szCs w:val="24"/>
          <w:lang w:val="en-US" w:eastAsia="fr-FR"/>
        </w:rPr>
      </w:pPr>
      <w:r w:rsidRPr="007E2923">
        <w:rPr>
          <w:rFonts w:asciiTheme="majorBidi" w:eastAsia="Times New Roman" w:hAnsiTheme="majorBidi" w:cstheme="majorBidi"/>
          <w:b/>
          <w:bCs/>
          <w:sz w:val="24"/>
          <w:szCs w:val="24"/>
          <w:lang w:val="en-US" w:eastAsia="fr-FR"/>
        </w:rPr>
        <w:t xml:space="preserve">Writing – original draft: </w:t>
      </w:r>
      <w:r w:rsidRPr="007E2923">
        <w:rPr>
          <w:rFonts w:asciiTheme="majorBidi" w:eastAsia="Times New Roman" w:hAnsiTheme="majorBidi" w:cstheme="majorBidi"/>
          <w:sz w:val="24"/>
          <w:szCs w:val="24"/>
          <w:lang w:val="en-US" w:eastAsia="fr-FR"/>
        </w:rPr>
        <w:t>Amani Maatouk, Wa</w:t>
      </w:r>
      <w:r w:rsidR="007648EE">
        <w:rPr>
          <w:rFonts w:asciiTheme="majorBidi" w:eastAsia="Times New Roman" w:hAnsiTheme="majorBidi" w:cstheme="majorBidi"/>
          <w:sz w:val="24"/>
          <w:szCs w:val="24"/>
          <w:lang w:val="en-US" w:eastAsia="fr-FR"/>
        </w:rPr>
        <w:t>fa Dhouib, Cyrine Bennasrallah.</w:t>
      </w:r>
    </w:p>
    <w:p w:rsidR="002506EC" w:rsidRPr="007E2923" w:rsidRDefault="002506EC" w:rsidP="002506EC">
      <w:pPr>
        <w:spacing w:after="0" w:line="480" w:lineRule="auto"/>
        <w:rPr>
          <w:rFonts w:asciiTheme="majorBidi" w:eastAsia="Times New Roman" w:hAnsiTheme="majorBidi" w:cstheme="majorBidi"/>
          <w:sz w:val="24"/>
          <w:szCs w:val="24"/>
          <w:vertAlign w:val="superscript"/>
          <w:lang w:val="en-US" w:eastAsia="fr-FR"/>
        </w:rPr>
      </w:pPr>
      <w:r w:rsidRPr="007E2923">
        <w:rPr>
          <w:rFonts w:asciiTheme="majorBidi" w:eastAsia="Times New Roman" w:hAnsiTheme="majorBidi" w:cstheme="majorBidi"/>
          <w:b/>
          <w:bCs/>
          <w:sz w:val="24"/>
          <w:szCs w:val="24"/>
          <w:lang w:val="en-US" w:eastAsia="fr-FR"/>
        </w:rPr>
        <w:t>Writing – review &amp; editing:</w:t>
      </w:r>
      <w:r w:rsidRPr="007E2923">
        <w:rPr>
          <w:rFonts w:asciiTheme="majorBidi" w:eastAsia="Times New Roman" w:hAnsiTheme="majorBidi" w:cstheme="majorBidi"/>
          <w:sz w:val="24"/>
          <w:szCs w:val="24"/>
          <w:lang w:val="en-US" w:eastAsia="fr-FR"/>
        </w:rPr>
        <w:t xml:space="preserve"> Leila Njim,</w:t>
      </w:r>
      <w:r w:rsidRPr="007E2923">
        <w:rPr>
          <w:rFonts w:asciiTheme="majorBidi" w:eastAsia="Times New Roman" w:hAnsiTheme="majorBidi" w:cstheme="majorBidi"/>
          <w:sz w:val="24"/>
          <w:szCs w:val="24"/>
          <w:vertAlign w:val="superscript"/>
          <w:lang w:val="en-US" w:eastAsia="fr-FR"/>
        </w:rPr>
        <w:t xml:space="preserve"> </w:t>
      </w:r>
      <w:r w:rsidRPr="007E2923">
        <w:rPr>
          <w:rFonts w:asciiTheme="majorBidi" w:eastAsia="Times New Roman" w:hAnsiTheme="majorBidi" w:cstheme="majorBidi"/>
          <w:sz w:val="24"/>
          <w:szCs w:val="24"/>
          <w:lang w:val="en-US" w:eastAsia="fr-FR"/>
        </w:rPr>
        <w:t>Moncef Mokni, Ines Bouanene, Asma Belguith Sriha</w:t>
      </w:r>
    </w:p>
    <w:p w:rsidR="002506EC" w:rsidRPr="007E2923" w:rsidRDefault="002506EC" w:rsidP="002506EC">
      <w:pPr>
        <w:pStyle w:val="NormalWeb"/>
        <w:spacing w:before="0" w:beforeAutospacing="0" w:after="0" w:afterAutospacing="0" w:line="480" w:lineRule="auto"/>
        <w:rPr>
          <w:rFonts w:asciiTheme="majorBidi" w:hAnsiTheme="majorBidi" w:cstheme="majorBidi"/>
          <w:lang w:val="en-US"/>
        </w:rPr>
      </w:pPr>
      <w:r w:rsidRPr="007E2923">
        <w:rPr>
          <w:rStyle w:val="lev"/>
          <w:rFonts w:asciiTheme="majorBidi" w:hAnsiTheme="majorBidi" w:cstheme="majorBidi"/>
          <w:lang w:val="en-US"/>
        </w:rPr>
        <w:t>Funding</w:t>
      </w:r>
      <w:r w:rsidRPr="007E2923">
        <w:rPr>
          <w:rFonts w:asciiTheme="majorBidi" w:hAnsiTheme="majorBidi" w:cstheme="majorBidi"/>
          <w:lang w:val="en-US"/>
        </w:rPr>
        <w:t xml:space="preserve"> : “No funding.”</w:t>
      </w:r>
    </w:p>
    <w:p w:rsidR="00AD6DB8" w:rsidRPr="007E2923" w:rsidRDefault="00AD6DB8" w:rsidP="00AD6DB8">
      <w:pPr>
        <w:rPr>
          <w:rFonts w:asciiTheme="majorBidi" w:hAnsiTheme="majorBidi" w:cstheme="majorBidi"/>
          <w:sz w:val="24"/>
          <w:szCs w:val="24"/>
          <w:lang w:val="en-US"/>
        </w:rPr>
      </w:pPr>
      <w:r w:rsidRPr="007E2923">
        <w:rPr>
          <w:rFonts w:asciiTheme="majorBidi" w:hAnsiTheme="majorBidi" w:cstheme="majorBidi"/>
          <w:b/>
          <w:bCs/>
          <w:sz w:val="24"/>
          <w:szCs w:val="24"/>
          <w:lang w:val="en-US"/>
        </w:rPr>
        <w:t xml:space="preserve">Competing interests </w:t>
      </w:r>
    </w:p>
    <w:p w:rsidR="00AD6DB8" w:rsidRPr="007E2923" w:rsidRDefault="00AD6DB8" w:rsidP="00AD6DB8">
      <w:pPr>
        <w:rPr>
          <w:rFonts w:asciiTheme="majorBidi" w:hAnsiTheme="majorBidi" w:cstheme="majorBidi"/>
          <w:sz w:val="24"/>
          <w:szCs w:val="24"/>
          <w:lang w:val="en-US"/>
        </w:rPr>
      </w:pPr>
      <w:r w:rsidRPr="007E2923">
        <w:rPr>
          <w:rFonts w:asciiTheme="majorBidi" w:hAnsiTheme="majorBidi" w:cstheme="majorBidi"/>
          <w:sz w:val="24"/>
          <w:szCs w:val="24"/>
          <w:lang w:val="en-US"/>
        </w:rPr>
        <w:t>The authors declare that they have no competing interests.</w:t>
      </w:r>
    </w:p>
    <w:p w:rsidR="00AD6DB8" w:rsidRPr="007E2923" w:rsidRDefault="00AD6DB8" w:rsidP="00AD6DB8">
      <w:pPr>
        <w:rPr>
          <w:rFonts w:asciiTheme="majorBidi" w:hAnsiTheme="majorBidi" w:cstheme="majorBidi"/>
          <w:sz w:val="24"/>
          <w:szCs w:val="24"/>
          <w:lang w:val="en-US"/>
        </w:rPr>
      </w:pPr>
      <w:r w:rsidRPr="007E2923">
        <w:rPr>
          <w:rFonts w:asciiTheme="majorBidi" w:hAnsiTheme="majorBidi" w:cstheme="majorBidi"/>
          <w:b/>
          <w:bCs/>
          <w:sz w:val="24"/>
          <w:szCs w:val="24"/>
          <w:lang w:val="en-US"/>
        </w:rPr>
        <w:t xml:space="preserve">Data availability </w:t>
      </w:r>
    </w:p>
    <w:p w:rsidR="00AD6DB8" w:rsidRPr="007E2923" w:rsidRDefault="00091832" w:rsidP="00AD6DB8">
      <w:pPr>
        <w:spacing w:line="360" w:lineRule="auto"/>
        <w:jc w:val="both"/>
        <w:rPr>
          <w:rFonts w:asciiTheme="majorBidi" w:hAnsiTheme="majorBidi" w:cstheme="majorBidi"/>
          <w:sz w:val="24"/>
          <w:szCs w:val="24"/>
          <w:lang w:val="en-US"/>
        </w:rPr>
      </w:pPr>
      <w:r w:rsidRPr="007E2923">
        <w:rPr>
          <w:rFonts w:asciiTheme="majorBidi" w:hAnsiTheme="majorBidi" w:cstheme="majorBidi"/>
          <w:sz w:val="24"/>
          <w:szCs w:val="24"/>
          <w:lang w:val="en-US"/>
        </w:rPr>
        <w:t>The datasets generated and/or analyzed during the current study are not publicly available due to reasons of patient confidentiality but are available from the corresponding author on reasonable request.</w:t>
      </w:r>
      <w:r w:rsidR="00AD6DB8" w:rsidRPr="007E2923">
        <w:rPr>
          <w:rFonts w:asciiTheme="majorBidi" w:hAnsiTheme="majorBidi" w:cstheme="majorBidi"/>
          <w:sz w:val="24"/>
          <w:szCs w:val="24"/>
          <w:lang w:val="en-US"/>
        </w:rPr>
        <w:t>.</w:t>
      </w:r>
    </w:p>
    <w:p w:rsidR="00460C3B" w:rsidRPr="007E2923" w:rsidRDefault="00460C3B" w:rsidP="001F674D">
      <w:pPr>
        <w:spacing w:after="300" w:line="360" w:lineRule="auto"/>
        <w:rPr>
          <w:rFonts w:asciiTheme="majorBidi" w:eastAsia="Times New Roman" w:hAnsiTheme="majorBidi" w:cstheme="majorBidi"/>
          <w:b/>
          <w:bCs/>
          <w:sz w:val="24"/>
          <w:szCs w:val="24"/>
          <w:lang w:val="en-US" w:eastAsia="fr-FR"/>
        </w:rPr>
      </w:pPr>
      <w:r w:rsidRPr="007E2923">
        <w:rPr>
          <w:rFonts w:asciiTheme="majorBidi" w:eastAsia="Times New Roman" w:hAnsiTheme="majorBidi" w:cstheme="majorBidi"/>
          <w:b/>
          <w:bCs/>
          <w:sz w:val="24"/>
          <w:szCs w:val="24"/>
          <w:lang w:val="en-US" w:eastAsia="fr-FR"/>
        </w:rPr>
        <w:t>Acknowledgements</w:t>
      </w:r>
      <w:r w:rsidR="0045312D" w:rsidRPr="007E2923">
        <w:rPr>
          <w:rFonts w:asciiTheme="majorBidi" w:eastAsia="Times New Roman" w:hAnsiTheme="majorBidi" w:cstheme="majorBidi"/>
          <w:b/>
          <w:bCs/>
          <w:sz w:val="24"/>
          <w:szCs w:val="24"/>
          <w:lang w:val="en-US" w:eastAsia="fr-FR"/>
        </w:rPr>
        <w:t xml:space="preserve"> </w:t>
      </w:r>
    </w:p>
    <w:p w:rsidR="00151296" w:rsidRPr="007E2923" w:rsidRDefault="00151296" w:rsidP="00974404">
      <w:pPr>
        <w:spacing w:after="300" w:line="360" w:lineRule="auto"/>
        <w:rPr>
          <w:rFonts w:asciiTheme="majorBidi" w:hAnsiTheme="majorBidi" w:cstheme="majorBidi"/>
          <w:sz w:val="24"/>
          <w:szCs w:val="24"/>
          <w:lang w:val="en-US"/>
        </w:rPr>
      </w:pPr>
      <w:r w:rsidRPr="007E2923">
        <w:rPr>
          <w:rFonts w:asciiTheme="majorBidi" w:hAnsiTheme="majorBidi" w:cstheme="majorBidi"/>
          <w:sz w:val="24"/>
          <w:szCs w:val="24"/>
          <w:lang w:val="en-US"/>
        </w:rPr>
        <w:t>The authors thank Mr. Sofiene Hemissi and Mr. Helmi Soltani (Tunisian Ministry of Social Affairs) as well as Mr. Amor Ayed (Computer Department, University Hospital of Monastir, Tunisia) for their valuable contributions to data collection. The authors also acknowledge the assistance of ChatGPT in drafting  sections of the manuscript.</w:t>
      </w:r>
    </w:p>
    <w:p w:rsidR="00883A60" w:rsidRPr="007E2923" w:rsidRDefault="00883A60" w:rsidP="00883A60">
      <w:pPr>
        <w:spacing w:after="300" w:line="360" w:lineRule="auto"/>
        <w:rPr>
          <w:rFonts w:asciiTheme="majorBidi" w:eastAsia="Times New Roman" w:hAnsiTheme="majorBidi" w:cstheme="majorBidi"/>
          <w:b/>
          <w:bCs/>
          <w:sz w:val="24"/>
          <w:szCs w:val="24"/>
          <w:lang w:val="en-US" w:eastAsia="fr-FR"/>
        </w:rPr>
      </w:pPr>
    </w:p>
    <w:p w:rsidR="00883A60" w:rsidRPr="007E2923" w:rsidRDefault="00883A60" w:rsidP="00883A60">
      <w:pPr>
        <w:spacing w:after="300" w:line="360" w:lineRule="auto"/>
        <w:rPr>
          <w:rFonts w:asciiTheme="majorBidi" w:eastAsia="Times New Roman" w:hAnsiTheme="majorBidi" w:cstheme="majorBidi"/>
          <w:b/>
          <w:bCs/>
          <w:sz w:val="24"/>
          <w:szCs w:val="24"/>
          <w:lang w:val="en-US" w:eastAsia="fr-FR"/>
        </w:rPr>
      </w:pPr>
      <w:r w:rsidRPr="007E2923">
        <w:rPr>
          <w:rFonts w:asciiTheme="majorBidi" w:eastAsia="Times New Roman" w:hAnsiTheme="majorBidi" w:cstheme="majorBidi"/>
          <w:b/>
          <w:bCs/>
          <w:sz w:val="24"/>
          <w:szCs w:val="24"/>
          <w:lang w:val="en-US" w:eastAsia="fr-FR"/>
        </w:rPr>
        <w:t xml:space="preserve">References </w:t>
      </w:r>
    </w:p>
    <w:p w:rsidR="00883A60" w:rsidRPr="007E2923" w:rsidRDefault="00883A60" w:rsidP="00883A60">
      <w:pPr>
        <w:pStyle w:val="Bibliographie"/>
        <w:spacing w:line="360" w:lineRule="auto"/>
        <w:jc w:val="both"/>
        <w:rPr>
          <w:rFonts w:asciiTheme="majorBidi" w:hAnsiTheme="majorBidi" w:cstheme="majorBidi"/>
          <w:sz w:val="24"/>
        </w:rPr>
      </w:pPr>
      <w:r w:rsidRPr="007E2923">
        <w:rPr>
          <w:rFonts w:asciiTheme="majorBidi" w:hAnsiTheme="majorBidi" w:cstheme="majorBidi"/>
          <w:sz w:val="24"/>
          <w:lang w:val="en-US"/>
        </w:rPr>
        <w:t xml:space="preserve">1. </w:t>
      </w:r>
      <w:r w:rsidRPr="007E2923">
        <w:rPr>
          <w:rFonts w:asciiTheme="majorBidi" w:hAnsiTheme="majorBidi" w:cstheme="majorBidi"/>
          <w:sz w:val="24"/>
          <w:lang w:val="en-US"/>
        </w:rPr>
        <w:tab/>
        <w:t>Ben Khelil M, Kamel M, Lahmar S, Mrabet A, Borsali Falfoul N, Hamdoun M. Death certificate accuracy in a Tunisian Emergency Department. </w:t>
      </w:r>
      <w:r w:rsidRPr="007E2923">
        <w:rPr>
          <w:rFonts w:asciiTheme="majorBidi" w:hAnsiTheme="majorBidi" w:cstheme="majorBidi"/>
          <w:i/>
          <w:iCs/>
          <w:sz w:val="24"/>
        </w:rPr>
        <w:t>Tunis Med</w:t>
      </w:r>
      <w:r w:rsidRPr="007E2923">
        <w:rPr>
          <w:rFonts w:asciiTheme="majorBidi" w:hAnsiTheme="majorBidi" w:cstheme="majorBidi"/>
          <w:sz w:val="24"/>
        </w:rPr>
        <w:t>. 2017;95(6):422-428.</w:t>
      </w:r>
    </w:p>
    <w:p w:rsidR="00883A60" w:rsidRPr="007E2923" w:rsidRDefault="00883A60" w:rsidP="00883A60">
      <w:pPr>
        <w:pStyle w:val="Bibliographie"/>
        <w:spacing w:line="360" w:lineRule="auto"/>
        <w:jc w:val="both"/>
        <w:rPr>
          <w:rFonts w:asciiTheme="majorBidi" w:hAnsiTheme="majorBidi" w:cstheme="majorBidi"/>
          <w:sz w:val="24"/>
        </w:rPr>
      </w:pPr>
      <w:r w:rsidRPr="007E2923">
        <w:rPr>
          <w:rFonts w:asciiTheme="majorBidi" w:hAnsiTheme="majorBidi" w:cstheme="majorBidi"/>
          <w:sz w:val="24"/>
        </w:rPr>
        <w:t xml:space="preserve">2. </w:t>
      </w:r>
      <w:r w:rsidRPr="007E2923">
        <w:rPr>
          <w:rFonts w:asciiTheme="majorBidi" w:hAnsiTheme="majorBidi" w:cstheme="majorBidi"/>
          <w:sz w:val="24"/>
        </w:rPr>
        <w:tab/>
        <w:t xml:space="preserve">Michel E, Jougla E. Principaux indicateurs utilisés pour l'analyse descriptive des causes médicales de décès </w:t>
      </w:r>
      <w:r w:rsidR="00670063" w:rsidRPr="007E2923">
        <w:rPr>
          <w:rFonts w:asciiTheme="majorBidi" w:hAnsiTheme="majorBidi" w:cstheme="majorBidi"/>
          <w:sz w:val="24"/>
        </w:rPr>
        <w:t>(</w:t>
      </w:r>
      <w:r w:rsidRPr="007E2923">
        <w:rPr>
          <w:rFonts w:asciiTheme="majorBidi" w:hAnsiTheme="majorBidi" w:cstheme="majorBidi"/>
          <w:sz w:val="24"/>
        </w:rPr>
        <w:t>Main indicators used for the descriptive analysis of medical causes of death</w:t>
      </w:r>
      <w:r w:rsidR="00670063" w:rsidRPr="007E2923">
        <w:rPr>
          <w:rFonts w:asciiTheme="majorBidi" w:hAnsiTheme="majorBidi" w:cstheme="majorBidi"/>
          <w:sz w:val="24"/>
        </w:rPr>
        <w:t>)</w:t>
      </w:r>
      <w:r w:rsidRPr="007E2923">
        <w:rPr>
          <w:rFonts w:asciiTheme="majorBidi" w:hAnsiTheme="majorBidi" w:cstheme="majorBidi"/>
          <w:sz w:val="24"/>
        </w:rPr>
        <w:t>. </w:t>
      </w:r>
      <w:r w:rsidRPr="007E2923">
        <w:rPr>
          <w:rFonts w:asciiTheme="majorBidi" w:hAnsiTheme="majorBidi" w:cstheme="majorBidi"/>
          <w:i/>
          <w:iCs/>
          <w:sz w:val="24"/>
        </w:rPr>
        <w:t>Bull Cancer</w:t>
      </w:r>
      <w:r w:rsidRPr="007E2923">
        <w:rPr>
          <w:rFonts w:asciiTheme="majorBidi" w:hAnsiTheme="majorBidi" w:cstheme="majorBidi"/>
          <w:sz w:val="24"/>
        </w:rPr>
        <w:t>. 2000;87(10):755-759.</w:t>
      </w:r>
    </w:p>
    <w:p w:rsidR="00883A60" w:rsidRPr="007E2923" w:rsidRDefault="00883A60" w:rsidP="00883A60">
      <w:pPr>
        <w:pStyle w:val="Bibliographie"/>
        <w:spacing w:line="360" w:lineRule="auto"/>
        <w:jc w:val="both"/>
        <w:rPr>
          <w:rFonts w:asciiTheme="majorBidi" w:hAnsiTheme="majorBidi" w:cstheme="majorBidi"/>
          <w:sz w:val="24"/>
        </w:rPr>
      </w:pPr>
      <w:r w:rsidRPr="007E2923">
        <w:rPr>
          <w:rFonts w:asciiTheme="majorBidi" w:hAnsiTheme="majorBidi" w:cstheme="majorBidi"/>
          <w:sz w:val="24"/>
        </w:rPr>
        <w:t xml:space="preserve">3. </w:t>
      </w:r>
      <w:r w:rsidRPr="007E2923">
        <w:rPr>
          <w:rFonts w:asciiTheme="majorBidi" w:hAnsiTheme="majorBidi" w:cstheme="majorBidi"/>
          <w:sz w:val="24"/>
        </w:rPr>
        <w:tab/>
        <w:t xml:space="preserve">World Health Organization. </w:t>
      </w:r>
      <w:r w:rsidRPr="007E2923">
        <w:rPr>
          <w:rFonts w:asciiTheme="majorBidi" w:hAnsiTheme="majorBidi" w:cstheme="majorBidi"/>
          <w:sz w:val="24"/>
          <w:lang w:val="en-US"/>
        </w:rPr>
        <w:t xml:space="preserve">Cancer. </w:t>
      </w:r>
      <w:hyperlink r:id="rId24" w:history="1">
        <w:r w:rsidRPr="007E2923">
          <w:rPr>
            <w:rFonts w:asciiTheme="majorBidi" w:hAnsiTheme="majorBidi" w:cstheme="majorBidi"/>
            <w:sz w:val="24"/>
            <w:lang w:val="en-US"/>
          </w:rPr>
          <w:t>https://www.who.int/news-room/fact-sheets/detail/cancer</w:t>
        </w:r>
      </w:hyperlink>
      <w:r w:rsidRPr="007E2923">
        <w:rPr>
          <w:rFonts w:asciiTheme="majorBidi" w:hAnsiTheme="majorBidi" w:cstheme="majorBidi"/>
          <w:sz w:val="24"/>
          <w:lang w:val="en-US"/>
        </w:rPr>
        <w:t xml:space="preserve">. </w:t>
      </w:r>
      <w:r w:rsidRPr="007E2923">
        <w:rPr>
          <w:rFonts w:asciiTheme="majorBidi" w:hAnsiTheme="majorBidi" w:cstheme="majorBidi"/>
          <w:sz w:val="24"/>
        </w:rPr>
        <w:t>Cited 7 February 2023.</w:t>
      </w:r>
    </w:p>
    <w:p w:rsidR="00883A60" w:rsidRPr="007E2923" w:rsidRDefault="00883A60" w:rsidP="00883A60">
      <w:pPr>
        <w:pStyle w:val="Bibliographie"/>
        <w:spacing w:line="360" w:lineRule="auto"/>
        <w:jc w:val="both"/>
        <w:rPr>
          <w:rFonts w:asciiTheme="majorBidi" w:hAnsiTheme="majorBidi" w:cstheme="majorBidi"/>
          <w:sz w:val="24"/>
          <w:lang w:val="en-US"/>
        </w:rPr>
      </w:pPr>
      <w:r w:rsidRPr="007E2923">
        <w:rPr>
          <w:rFonts w:asciiTheme="majorBidi" w:hAnsiTheme="majorBidi" w:cstheme="majorBidi"/>
          <w:sz w:val="24"/>
        </w:rPr>
        <w:t xml:space="preserve">4. </w:t>
      </w:r>
      <w:r w:rsidRPr="007E2923">
        <w:rPr>
          <w:rFonts w:asciiTheme="majorBidi" w:hAnsiTheme="majorBidi" w:cstheme="majorBidi"/>
          <w:sz w:val="24"/>
        </w:rPr>
        <w:tab/>
        <w:t xml:space="preserve">Ministère de la Santé, Institut national de la santé. Statistiques nationales sur les causes de décès en Tunisie 2020 . </w:t>
      </w:r>
      <w:r w:rsidRPr="007E2923">
        <w:rPr>
          <w:rFonts w:asciiTheme="majorBidi" w:hAnsiTheme="majorBidi" w:cstheme="majorBidi"/>
          <w:sz w:val="24"/>
          <w:lang w:val="en-US"/>
        </w:rPr>
        <w:t xml:space="preserve">2021. </w:t>
      </w:r>
      <w:hyperlink r:id="rId25" w:history="1">
        <w:r w:rsidRPr="007E2923">
          <w:rPr>
            <w:rFonts w:asciiTheme="majorBidi" w:hAnsiTheme="majorBidi" w:cstheme="majorBidi"/>
            <w:sz w:val="24"/>
            <w:lang w:val="en-US"/>
          </w:rPr>
          <w:t>http://www.santetunisie.rns.tn/images/statistiques-deces2021.pdf</w:t>
        </w:r>
      </w:hyperlink>
      <w:r w:rsidRPr="007E2923">
        <w:rPr>
          <w:rFonts w:asciiTheme="majorBidi" w:hAnsiTheme="majorBidi" w:cstheme="majorBidi"/>
          <w:sz w:val="24"/>
          <w:lang w:val="en-US"/>
        </w:rPr>
        <w:t>. Cited 7 February 2023.</w:t>
      </w:r>
    </w:p>
    <w:p w:rsidR="00883A60" w:rsidRPr="007E2923" w:rsidRDefault="00883A60" w:rsidP="00883A60">
      <w:pPr>
        <w:spacing w:line="360" w:lineRule="auto"/>
        <w:jc w:val="both"/>
        <w:rPr>
          <w:rFonts w:asciiTheme="majorBidi" w:hAnsiTheme="majorBidi" w:cstheme="majorBidi"/>
          <w:lang w:val="en-US"/>
        </w:rPr>
      </w:pPr>
    </w:p>
    <w:p w:rsidR="00883A60" w:rsidRPr="007E2923" w:rsidRDefault="00883A60" w:rsidP="00883A60">
      <w:pPr>
        <w:pStyle w:val="Bibliographie"/>
        <w:spacing w:line="360" w:lineRule="auto"/>
        <w:jc w:val="both"/>
        <w:rPr>
          <w:rFonts w:asciiTheme="majorBidi" w:hAnsiTheme="majorBidi" w:cstheme="majorBidi"/>
          <w:sz w:val="24"/>
          <w:lang w:val="en-US"/>
        </w:rPr>
      </w:pPr>
      <w:r w:rsidRPr="007E2923">
        <w:rPr>
          <w:rFonts w:asciiTheme="majorBidi" w:hAnsiTheme="majorBidi" w:cstheme="majorBidi"/>
          <w:sz w:val="24"/>
          <w:lang w:val="en-US"/>
        </w:rPr>
        <w:t xml:space="preserve">5. </w:t>
      </w:r>
      <w:r w:rsidRPr="007E2923">
        <w:rPr>
          <w:rFonts w:asciiTheme="majorBidi" w:hAnsiTheme="majorBidi" w:cstheme="majorBidi"/>
          <w:sz w:val="24"/>
          <w:lang w:val="en-US"/>
        </w:rPr>
        <w:tab/>
      </w:r>
      <w:r w:rsidRPr="007E2923">
        <w:rPr>
          <w:rFonts w:asciiTheme="majorBidi" w:hAnsiTheme="majorBidi" w:cstheme="majorBidi"/>
          <w:sz w:val="24"/>
          <w:szCs w:val="24"/>
        </w:rPr>
        <w:t xml:space="preserve">Institut National de Santé Publique. Causes médicales de décès. </w:t>
      </w:r>
      <w:hyperlink r:id="rId26" w:history="1">
        <w:r w:rsidRPr="007E2923">
          <w:rPr>
            <w:rFonts w:asciiTheme="majorBidi" w:hAnsiTheme="majorBidi" w:cstheme="majorBidi"/>
            <w:sz w:val="24"/>
            <w:szCs w:val="24"/>
          </w:rPr>
          <w:t>http://www.insp.rns.tn/index.php?option=com_content&amp;view=section&amp;id=26&amp;Itemid=224</w:t>
        </w:r>
      </w:hyperlink>
      <w:r w:rsidRPr="007E2923">
        <w:rPr>
          <w:rFonts w:asciiTheme="majorBidi" w:hAnsiTheme="majorBidi" w:cstheme="majorBidi"/>
          <w:sz w:val="24"/>
          <w:szCs w:val="24"/>
        </w:rPr>
        <w:t xml:space="preserve">. </w:t>
      </w:r>
      <w:r w:rsidRPr="007E2923">
        <w:rPr>
          <w:rFonts w:asciiTheme="majorBidi" w:hAnsiTheme="majorBidi" w:cstheme="majorBidi"/>
          <w:sz w:val="24"/>
          <w:szCs w:val="24"/>
          <w:lang w:val="en-US"/>
        </w:rPr>
        <w:t>Cited 7 February 2023.</w:t>
      </w:r>
    </w:p>
    <w:p w:rsidR="0078642D" w:rsidRPr="007E2923" w:rsidRDefault="00B14712" w:rsidP="0078642D">
      <w:pPr>
        <w:pStyle w:val="Bibliographie"/>
        <w:spacing w:line="360" w:lineRule="auto"/>
        <w:jc w:val="both"/>
        <w:rPr>
          <w:rFonts w:asciiTheme="majorBidi" w:hAnsiTheme="majorBidi" w:cstheme="majorBidi"/>
          <w:sz w:val="24"/>
        </w:rPr>
      </w:pPr>
      <w:r w:rsidRPr="007E2923">
        <w:rPr>
          <w:rFonts w:asciiTheme="majorBidi" w:hAnsiTheme="majorBidi" w:cstheme="majorBidi"/>
          <w:sz w:val="24"/>
          <w:lang w:val="en-US"/>
        </w:rPr>
        <w:t>6</w:t>
      </w:r>
      <w:r w:rsidR="00883A60" w:rsidRPr="007E2923">
        <w:rPr>
          <w:rFonts w:asciiTheme="majorBidi" w:hAnsiTheme="majorBidi" w:cstheme="majorBidi"/>
          <w:sz w:val="24"/>
          <w:lang w:val="en-US"/>
        </w:rPr>
        <w:t xml:space="preserve">. </w:t>
      </w:r>
      <w:r w:rsidR="00883A60" w:rsidRPr="007E2923">
        <w:rPr>
          <w:rFonts w:asciiTheme="majorBidi" w:hAnsiTheme="majorBidi" w:cstheme="majorBidi"/>
          <w:sz w:val="24"/>
          <w:lang w:val="en-US"/>
        </w:rPr>
        <w:tab/>
        <w:t xml:space="preserve">World Health Organization. International Statistical Classification of Diseases and Related Health Problems, 10 th Revision (ICD-10) Version for 2008. Available from URL: </w:t>
      </w:r>
      <w:hyperlink r:id="rId27" w:anchor="/II. Cited 7 May 2023" w:history="1">
        <w:r w:rsidR="00B82FAA" w:rsidRPr="007E2923">
          <w:rPr>
            <w:rStyle w:val="Lienhypertexte"/>
            <w:rFonts w:asciiTheme="majorBidi" w:hAnsiTheme="majorBidi" w:cstheme="majorBidi"/>
            <w:sz w:val="24"/>
            <w:lang w:val="en-US"/>
          </w:rPr>
          <w:t xml:space="preserve">https://icd.who.int/browse10/2008/en#/II. </w:t>
        </w:r>
        <w:r w:rsidR="00B82FAA" w:rsidRPr="007E2923">
          <w:rPr>
            <w:rStyle w:val="Lienhypertexte"/>
            <w:rFonts w:asciiTheme="majorBidi" w:hAnsiTheme="majorBidi" w:cstheme="majorBidi"/>
            <w:sz w:val="24"/>
          </w:rPr>
          <w:t>Cited 7 May 2023</w:t>
        </w:r>
      </w:hyperlink>
      <w:r w:rsidR="00883A60" w:rsidRPr="007E2923">
        <w:rPr>
          <w:rFonts w:asciiTheme="majorBidi" w:hAnsiTheme="majorBidi" w:cstheme="majorBidi"/>
          <w:sz w:val="24"/>
        </w:rPr>
        <w:t>.</w:t>
      </w:r>
    </w:p>
    <w:p w:rsidR="0078642D" w:rsidRPr="007E2923" w:rsidRDefault="00B82FAA" w:rsidP="0078642D">
      <w:pPr>
        <w:pStyle w:val="Bibliographie"/>
        <w:spacing w:line="360" w:lineRule="auto"/>
        <w:jc w:val="both"/>
        <w:rPr>
          <w:rFonts w:asciiTheme="majorBidi" w:hAnsiTheme="majorBidi" w:cstheme="majorBidi"/>
          <w:sz w:val="24"/>
        </w:rPr>
      </w:pPr>
      <w:r w:rsidRPr="0033186D">
        <w:rPr>
          <w:rFonts w:asciiTheme="majorBidi" w:hAnsiTheme="majorBidi" w:cstheme="majorBidi"/>
          <w:sz w:val="24"/>
        </w:rPr>
        <w:t xml:space="preserve">7. </w:t>
      </w:r>
      <w:r w:rsidR="0078642D" w:rsidRPr="0033186D">
        <w:rPr>
          <w:rFonts w:asciiTheme="majorBidi" w:hAnsiTheme="majorBidi" w:cstheme="majorBidi"/>
          <w:sz w:val="24"/>
        </w:rPr>
        <w:t xml:space="preserve">Institut National de la Statistique. Statistiques | INS [Internet]. </w:t>
      </w:r>
      <w:r w:rsidR="0078642D" w:rsidRPr="007E2923">
        <w:rPr>
          <w:rFonts w:asciiTheme="majorBidi" w:hAnsiTheme="majorBidi" w:cstheme="majorBidi"/>
          <w:sz w:val="24"/>
          <w:lang w:val="en-US"/>
        </w:rPr>
        <w:t>[cited 2025 Apr 2]. Available from:</w:t>
      </w:r>
      <w:r w:rsidR="0078642D" w:rsidRPr="007E2923">
        <w:t xml:space="preserve"> </w:t>
      </w:r>
      <w:hyperlink r:id="rId28" w:tgtFrame="_new" w:history="1">
        <w:r w:rsidR="0078642D" w:rsidRPr="007E2923">
          <w:rPr>
            <w:rStyle w:val="Lienhypertexte"/>
          </w:rPr>
          <w:t>https://www.ins.tn/statistiques/111</w:t>
        </w:r>
      </w:hyperlink>
    </w:p>
    <w:p w:rsidR="00C1425A" w:rsidRPr="00566508" w:rsidRDefault="00C1425A" w:rsidP="00682D4D">
      <w:pPr>
        <w:spacing w:line="360" w:lineRule="auto"/>
        <w:rPr>
          <w:rFonts w:asciiTheme="majorBidi" w:eastAsia="Times New Roman" w:hAnsiTheme="majorBidi" w:cstheme="majorBidi"/>
          <w:sz w:val="24"/>
          <w:szCs w:val="24"/>
          <w:lang w:val="en-US" w:eastAsia="fr-FR"/>
        </w:rPr>
      </w:pPr>
    </w:p>
    <w:p w:rsidR="009F173C" w:rsidRPr="00566508" w:rsidRDefault="009F173C" w:rsidP="009F173C">
      <w:pPr>
        <w:spacing w:after="300" w:line="360" w:lineRule="auto"/>
        <w:rPr>
          <w:rFonts w:asciiTheme="majorBidi" w:eastAsia="Times New Roman" w:hAnsiTheme="majorBidi" w:cstheme="majorBidi"/>
          <w:b/>
          <w:bCs/>
          <w:sz w:val="24"/>
          <w:szCs w:val="24"/>
          <w:lang w:val="en-US" w:eastAsia="fr-FR"/>
        </w:rPr>
      </w:pPr>
    </w:p>
    <w:p w:rsidR="00DC2338" w:rsidRPr="00566508" w:rsidRDefault="00DC2338">
      <w:pPr>
        <w:rPr>
          <w:rFonts w:asciiTheme="majorBidi" w:hAnsiTheme="majorBidi" w:cstheme="majorBidi"/>
        </w:rPr>
      </w:pPr>
    </w:p>
    <w:sectPr w:rsidR="00DC2338" w:rsidRPr="005665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A5" w:rsidRDefault="00561BA5" w:rsidP="00394E84">
      <w:pPr>
        <w:spacing w:after="0" w:line="240" w:lineRule="auto"/>
      </w:pPr>
      <w:r>
        <w:separator/>
      </w:r>
    </w:p>
  </w:endnote>
  <w:endnote w:type="continuationSeparator" w:id="0">
    <w:p w:rsidR="00561BA5" w:rsidRDefault="00561BA5" w:rsidP="0039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A5" w:rsidRDefault="00561BA5" w:rsidP="00394E84">
      <w:pPr>
        <w:spacing w:after="0" w:line="240" w:lineRule="auto"/>
      </w:pPr>
      <w:r>
        <w:separator/>
      </w:r>
    </w:p>
  </w:footnote>
  <w:footnote w:type="continuationSeparator" w:id="0">
    <w:p w:rsidR="00561BA5" w:rsidRDefault="00561BA5" w:rsidP="00394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D0885"/>
    <w:multiLevelType w:val="multilevel"/>
    <w:tmpl w:val="1C90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23E35"/>
    <w:multiLevelType w:val="multilevel"/>
    <w:tmpl w:val="580051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235913"/>
    <w:multiLevelType w:val="multilevel"/>
    <w:tmpl w:val="E980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5460D"/>
    <w:multiLevelType w:val="multilevel"/>
    <w:tmpl w:val="36A2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C50B6"/>
    <w:multiLevelType w:val="multilevel"/>
    <w:tmpl w:val="22DC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D420E"/>
    <w:multiLevelType w:val="multilevel"/>
    <w:tmpl w:val="0036833C"/>
    <w:lvl w:ilvl="0">
      <w:start w:val="1"/>
      <w:numFmt w:val="decimal"/>
      <w:lvlText w:val="%1."/>
      <w:lvlJc w:val="right"/>
      <w:pPr>
        <w:ind w:left="144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15:restartNumberingAfterBreak="0">
    <w:nsid w:val="182E59C6"/>
    <w:multiLevelType w:val="hybridMultilevel"/>
    <w:tmpl w:val="AABE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22493"/>
    <w:multiLevelType w:val="hybridMultilevel"/>
    <w:tmpl w:val="B8286B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86EEA"/>
    <w:multiLevelType w:val="multilevel"/>
    <w:tmpl w:val="CCCC334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65633"/>
    <w:multiLevelType w:val="hybridMultilevel"/>
    <w:tmpl w:val="C10A27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4CD013A"/>
    <w:multiLevelType w:val="multilevel"/>
    <w:tmpl w:val="80A4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70A37"/>
    <w:multiLevelType w:val="hybridMultilevel"/>
    <w:tmpl w:val="0AD27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E3A05"/>
    <w:multiLevelType w:val="multilevel"/>
    <w:tmpl w:val="2270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F04E2"/>
    <w:multiLevelType w:val="multilevel"/>
    <w:tmpl w:val="07B0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11636"/>
    <w:multiLevelType w:val="multilevel"/>
    <w:tmpl w:val="8D2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D4C83"/>
    <w:multiLevelType w:val="multilevel"/>
    <w:tmpl w:val="2066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17D60"/>
    <w:multiLevelType w:val="multilevel"/>
    <w:tmpl w:val="3AA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05402"/>
    <w:multiLevelType w:val="hybridMultilevel"/>
    <w:tmpl w:val="6EBEF546"/>
    <w:lvl w:ilvl="0" w:tplc="8ED046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8975E7"/>
    <w:multiLevelType w:val="hybridMultilevel"/>
    <w:tmpl w:val="F3443F72"/>
    <w:lvl w:ilvl="0" w:tplc="E6A4E3A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7F6AB8"/>
    <w:multiLevelType w:val="hybridMultilevel"/>
    <w:tmpl w:val="9C26DA86"/>
    <w:lvl w:ilvl="0" w:tplc="F64A23C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59F26D0"/>
    <w:multiLevelType w:val="hybridMultilevel"/>
    <w:tmpl w:val="CAFCD9EC"/>
    <w:lvl w:ilvl="0" w:tplc="56708D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5F80D04"/>
    <w:multiLevelType w:val="hybridMultilevel"/>
    <w:tmpl w:val="611495E8"/>
    <w:lvl w:ilvl="0" w:tplc="819814B0">
      <w:start w:val="1"/>
      <w:numFmt w:val="decimal"/>
      <w:lvlText w:val="%1-"/>
      <w:lvlJc w:val="left"/>
      <w:pPr>
        <w:ind w:left="720" w:hanging="36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6D10C90"/>
    <w:multiLevelType w:val="hybridMultilevel"/>
    <w:tmpl w:val="0036833C"/>
    <w:lvl w:ilvl="0" w:tplc="3FB8FECC">
      <w:start w:val="1"/>
      <w:numFmt w:val="decimal"/>
      <w:lvlText w:val="%1."/>
      <w:lvlJc w:val="righ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827A75"/>
    <w:multiLevelType w:val="multilevel"/>
    <w:tmpl w:val="6868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C43A4"/>
    <w:multiLevelType w:val="hybridMultilevel"/>
    <w:tmpl w:val="50F2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44549"/>
    <w:multiLevelType w:val="multilevel"/>
    <w:tmpl w:val="9C8A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361E2"/>
    <w:multiLevelType w:val="hybridMultilevel"/>
    <w:tmpl w:val="94388B26"/>
    <w:lvl w:ilvl="0" w:tplc="7E68000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83C110B"/>
    <w:multiLevelType w:val="hybridMultilevel"/>
    <w:tmpl w:val="2DAA4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74AC4"/>
    <w:multiLevelType w:val="hybridMultilevel"/>
    <w:tmpl w:val="5EE87F32"/>
    <w:lvl w:ilvl="0" w:tplc="1C3EF9DE">
      <w:start w:val="1"/>
      <w:numFmt w:val="upperRoman"/>
      <w:lvlText w:val="%1-"/>
      <w:lvlJc w:val="left"/>
      <w:pPr>
        <w:ind w:left="1080" w:hanging="72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D25304"/>
    <w:multiLevelType w:val="multilevel"/>
    <w:tmpl w:val="21C2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B60B0"/>
    <w:multiLevelType w:val="multilevel"/>
    <w:tmpl w:val="1416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682946"/>
    <w:multiLevelType w:val="multilevel"/>
    <w:tmpl w:val="2D0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E163A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6"/>
  </w:num>
  <w:num w:numId="3">
    <w:abstractNumId w:val="21"/>
  </w:num>
  <w:num w:numId="4">
    <w:abstractNumId w:val="9"/>
  </w:num>
  <w:num w:numId="5">
    <w:abstractNumId w:val="19"/>
  </w:num>
  <w:num w:numId="6">
    <w:abstractNumId w:val="18"/>
  </w:num>
  <w:num w:numId="7">
    <w:abstractNumId w:val="20"/>
  </w:num>
  <w:num w:numId="8">
    <w:abstractNumId w:val="28"/>
  </w:num>
  <w:num w:numId="9">
    <w:abstractNumId w:val="10"/>
  </w:num>
  <w:num w:numId="10">
    <w:abstractNumId w:val="15"/>
  </w:num>
  <w:num w:numId="11">
    <w:abstractNumId w:val="13"/>
  </w:num>
  <w:num w:numId="12">
    <w:abstractNumId w:val="29"/>
  </w:num>
  <w:num w:numId="13">
    <w:abstractNumId w:val="23"/>
  </w:num>
  <w:num w:numId="14">
    <w:abstractNumId w:val="4"/>
  </w:num>
  <w:num w:numId="15">
    <w:abstractNumId w:val="12"/>
  </w:num>
  <w:num w:numId="16">
    <w:abstractNumId w:val="30"/>
  </w:num>
  <w:num w:numId="17">
    <w:abstractNumId w:val="16"/>
  </w:num>
  <w:num w:numId="18">
    <w:abstractNumId w:val="1"/>
  </w:num>
  <w:num w:numId="19">
    <w:abstractNumId w:val="2"/>
  </w:num>
  <w:num w:numId="20">
    <w:abstractNumId w:val="0"/>
  </w:num>
  <w:num w:numId="21">
    <w:abstractNumId w:val="3"/>
  </w:num>
  <w:num w:numId="22">
    <w:abstractNumId w:val="31"/>
  </w:num>
  <w:num w:numId="23">
    <w:abstractNumId w:val="25"/>
  </w:num>
  <w:num w:numId="24">
    <w:abstractNumId w:val="7"/>
  </w:num>
  <w:num w:numId="25">
    <w:abstractNumId w:val="22"/>
  </w:num>
  <w:num w:numId="26">
    <w:abstractNumId w:val="32"/>
  </w:num>
  <w:num w:numId="27">
    <w:abstractNumId w:val="24"/>
  </w:num>
  <w:num w:numId="28">
    <w:abstractNumId w:val="8"/>
  </w:num>
  <w:num w:numId="29">
    <w:abstractNumId w:val="5"/>
  </w:num>
  <w:num w:numId="30">
    <w:abstractNumId w:val="14"/>
  </w:num>
  <w:num w:numId="31">
    <w:abstractNumId w:val="6"/>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D0"/>
    <w:rsid w:val="000012B8"/>
    <w:rsid w:val="00001C9E"/>
    <w:rsid w:val="00001F75"/>
    <w:rsid w:val="00002082"/>
    <w:rsid w:val="0000315C"/>
    <w:rsid w:val="00003E76"/>
    <w:rsid w:val="00006C04"/>
    <w:rsid w:val="00007DB3"/>
    <w:rsid w:val="00010840"/>
    <w:rsid w:val="00014AAB"/>
    <w:rsid w:val="00014E57"/>
    <w:rsid w:val="00016851"/>
    <w:rsid w:val="000213E1"/>
    <w:rsid w:val="0002190D"/>
    <w:rsid w:val="000228A7"/>
    <w:rsid w:val="000231EB"/>
    <w:rsid w:val="00024365"/>
    <w:rsid w:val="00025B2A"/>
    <w:rsid w:val="0002776A"/>
    <w:rsid w:val="00030E88"/>
    <w:rsid w:val="00031BA5"/>
    <w:rsid w:val="000332E5"/>
    <w:rsid w:val="000336AB"/>
    <w:rsid w:val="0003545A"/>
    <w:rsid w:val="000356A7"/>
    <w:rsid w:val="00035D7A"/>
    <w:rsid w:val="00036053"/>
    <w:rsid w:val="000372EB"/>
    <w:rsid w:val="00043A74"/>
    <w:rsid w:val="000441E5"/>
    <w:rsid w:val="0004444B"/>
    <w:rsid w:val="0004521D"/>
    <w:rsid w:val="000463D3"/>
    <w:rsid w:val="00050942"/>
    <w:rsid w:val="00051006"/>
    <w:rsid w:val="000512BB"/>
    <w:rsid w:val="000513B1"/>
    <w:rsid w:val="00052DE1"/>
    <w:rsid w:val="00054D4C"/>
    <w:rsid w:val="00055D7A"/>
    <w:rsid w:val="00061AAF"/>
    <w:rsid w:val="00061DCE"/>
    <w:rsid w:val="00064727"/>
    <w:rsid w:val="00066226"/>
    <w:rsid w:val="00066520"/>
    <w:rsid w:val="000707A5"/>
    <w:rsid w:val="00070A52"/>
    <w:rsid w:val="000717A6"/>
    <w:rsid w:val="0007550A"/>
    <w:rsid w:val="00075780"/>
    <w:rsid w:val="0007676E"/>
    <w:rsid w:val="000823D3"/>
    <w:rsid w:val="00091832"/>
    <w:rsid w:val="00093914"/>
    <w:rsid w:val="0009634A"/>
    <w:rsid w:val="00096439"/>
    <w:rsid w:val="000A045E"/>
    <w:rsid w:val="000A177A"/>
    <w:rsid w:val="000A185E"/>
    <w:rsid w:val="000A2F36"/>
    <w:rsid w:val="000A3085"/>
    <w:rsid w:val="000A552D"/>
    <w:rsid w:val="000A5CA5"/>
    <w:rsid w:val="000A753B"/>
    <w:rsid w:val="000B2FC5"/>
    <w:rsid w:val="000B404B"/>
    <w:rsid w:val="000B531F"/>
    <w:rsid w:val="000B5B0F"/>
    <w:rsid w:val="000C0F17"/>
    <w:rsid w:val="000C5ECA"/>
    <w:rsid w:val="000C6242"/>
    <w:rsid w:val="000C77FC"/>
    <w:rsid w:val="000D0590"/>
    <w:rsid w:val="000D203C"/>
    <w:rsid w:val="000E0B6D"/>
    <w:rsid w:val="000E1BDA"/>
    <w:rsid w:val="000E36D8"/>
    <w:rsid w:val="000E5AAE"/>
    <w:rsid w:val="000E7118"/>
    <w:rsid w:val="000F43E8"/>
    <w:rsid w:val="000F782E"/>
    <w:rsid w:val="001016A8"/>
    <w:rsid w:val="00103B39"/>
    <w:rsid w:val="00106219"/>
    <w:rsid w:val="001065AF"/>
    <w:rsid w:val="00115F84"/>
    <w:rsid w:val="001164EC"/>
    <w:rsid w:val="0012224E"/>
    <w:rsid w:val="00123B8B"/>
    <w:rsid w:val="00124A01"/>
    <w:rsid w:val="00124AFD"/>
    <w:rsid w:val="001258DF"/>
    <w:rsid w:val="00126499"/>
    <w:rsid w:val="00126695"/>
    <w:rsid w:val="001268ED"/>
    <w:rsid w:val="00130E35"/>
    <w:rsid w:val="00130FF8"/>
    <w:rsid w:val="001326EF"/>
    <w:rsid w:val="00133A87"/>
    <w:rsid w:val="00134FCE"/>
    <w:rsid w:val="0013746F"/>
    <w:rsid w:val="00140725"/>
    <w:rsid w:val="00145521"/>
    <w:rsid w:val="001461BF"/>
    <w:rsid w:val="0014661D"/>
    <w:rsid w:val="00146F3E"/>
    <w:rsid w:val="00147A7A"/>
    <w:rsid w:val="00151296"/>
    <w:rsid w:val="00152A45"/>
    <w:rsid w:val="00154450"/>
    <w:rsid w:val="001605F3"/>
    <w:rsid w:val="0016145C"/>
    <w:rsid w:val="00162603"/>
    <w:rsid w:val="00162FF8"/>
    <w:rsid w:val="00170A3B"/>
    <w:rsid w:val="00170AAA"/>
    <w:rsid w:val="001718E6"/>
    <w:rsid w:val="00172FC0"/>
    <w:rsid w:val="00174DEA"/>
    <w:rsid w:val="00175304"/>
    <w:rsid w:val="001758F6"/>
    <w:rsid w:val="00176152"/>
    <w:rsid w:val="0017623F"/>
    <w:rsid w:val="00177DE3"/>
    <w:rsid w:val="001812B6"/>
    <w:rsid w:val="00181DC6"/>
    <w:rsid w:val="00182A9B"/>
    <w:rsid w:val="001836ED"/>
    <w:rsid w:val="00184763"/>
    <w:rsid w:val="00185DB0"/>
    <w:rsid w:val="00187D21"/>
    <w:rsid w:val="00192032"/>
    <w:rsid w:val="00192B42"/>
    <w:rsid w:val="001933FD"/>
    <w:rsid w:val="001937AA"/>
    <w:rsid w:val="00193C78"/>
    <w:rsid w:val="00194F5C"/>
    <w:rsid w:val="00195D0B"/>
    <w:rsid w:val="00196A8C"/>
    <w:rsid w:val="001A2973"/>
    <w:rsid w:val="001A4D78"/>
    <w:rsid w:val="001A6832"/>
    <w:rsid w:val="001A7B00"/>
    <w:rsid w:val="001B07EA"/>
    <w:rsid w:val="001B14D6"/>
    <w:rsid w:val="001B6F3C"/>
    <w:rsid w:val="001B70DE"/>
    <w:rsid w:val="001B7E5D"/>
    <w:rsid w:val="001C0102"/>
    <w:rsid w:val="001C0D89"/>
    <w:rsid w:val="001C17BF"/>
    <w:rsid w:val="001C1E7E"/>
    <w:rsid w:val="001C3C80"/>
    <w:rsid w:val="001C3D8D"/>
    <w:rsid w:val="001C6D36"/>
    <w:rsid w:val="001C76A4"/>
    <w:rsid w:val="001D0330"/>
    <w:rsid w:val="001D043D"/>
    <w:rsid w:val="001D1519"/>
    <w:rsid w:val="001D1C7E"/>
    <w:rsid w:val="001D5010"/>
    <w:rsid w:val="001E0CE1"/>
    <w:rsid w:val="001E1914"/>
    <w:rsid w:val="001E1AD3"/>
    <w:rsid w:val="001E34BA"/>
    <w:rsid w:val="001F1B3A"/>
    <w:rsid w:val="001F2158"/>
    <w:rsid w:val="001F2D85"/>
    <w:rsid w:val="001F489F"/>
    <w:rsid w:val="001F4A4D"/>
    <w:rsid w:val="001F5397"/>
    <w:rsid w:val="001F5805"/>
    <w:rsid w:val="001F674D"/>
    <w:rsid w:val="0020118F"/>
    <w:rsid w:val="002017AA"/>
    <w:rsid w:val="0020530E"/>
    <w:rsid w:val="002054A4"/>
    <w:rsid w:val="00206D0E"/>
    <w:rsid w:val="00212A3F"/>
    <w:rsid w:val="002153E1"/>
    <w:rsid w:val="002159F9"/>
    <w:rsid w:val="00215B63"/>
    <w:rsid w:val="00215C5E"/>
    <w:rsid w:val="00217D84"/>
    <w:rsid w:val="00220F02"/>
    <w:rsid w:val="00221D61"/>
    <w:rsid w:val="0022229F"/>
    <w:rsid w:val="0022240B"/>
    <w:rsid w:val="002241E2"/>
    <w:rsid w:val="002245CB"/>
    <w:rsid w:val="002258D5"/>
    <w:rsid w:val="00232BA9"/>
    <w:rsid w:val="00233B78"/>
    <w:rsid w:val="0023406E"/>
    <w:rsid w:val="002366F7"/>
    <w:rsid w:val="002404A6"/>
    <w:rsid w:val="0024080C"/>
    <w:rsid w:val="0024093D"/>
    <w:rsid w:val="00240E3E"/>
    <w:rsid w:val="002506EC"/>
    <w:rsid w:val="00250E50"/>
    <w:rsid w:val="002531D7"/>
    <w:rsid w:val="00253EFD"/>
    <w:rsid w:val="002544AB"/>
    <w:rsid w:val="0025470C"/>
    <w:rsid w:val="00254DE3"/>
    <w:rsid w:val="00257511"/>
    <w:rsid w:val="00260168"/>
    <w:rsid w:val="002609B1"/>
    <w:rsid w:val="002630ED"/>
    <w:rsid w:val="002634F4"/>
    <w:rsid w:val="00264A24"/>
    <w:rsid w:val="00264B08"/>
    <w:rsid w:val="00266F9D"/>
    <w:rsid w:val="002729A1"/>
    <w:rsid w:val="00273530"/>
    <w:rsid w:val="00273E9C"/>
    <w:rsid w:val="00273FBA"/>
    <w:rsid w:val="002753AA"/>
    <w:rsid w:val="00275534"/>
    <w:rsid w:val="00275B18"/>
    <w:rsid w:val="0027644B"/>
    <w:rsid w:val="00276F24"/>
    <w:rsid w:val="002771F8"/>
    <w:rsid w:val="0028259F"/>
    <w:rsid w:val="00282CCE"/>
    <w:rsid w:val="0028369F"/>
    <w:rsid w:val="002857FA"/>
    <w:rsid w:val="002866C4"/>
    <w:rsid w:val="00290CDA"/>
    <w:rsid w:val="002914A3"/>
    <w:rsid w:val="0029254A"/>
    <w:rsid w:val="00292BBD"/>
    <w:rsid w:val="0029793A"/>
    <w:rsid w:val="00297A35"/>
    <w:rsid w:val="00297BC5"/>
    <w:rsid w:val="002A3B3F"/>
    <w:rsid w:val="002A4836"/>
    <w:rsid w:val="002A6497"/>
    <w:rsid w:val="002A750E"/>
    <w:rsid w:val="002A787F"/>
    <w:rsid w:val="002B420E"/>
    <w:rsid w:val="002B6EE0"/>
    <w:rsid w:val="002B79F5"/>
    <w:rsid w:val="002C3B44"/>
    <w:rsid w:val="002C551C"/>
    <w:rsid w:val="002C75B5"/>
    <w:rsid w:val="002C7F80"/>
    <w:rsid w:val="002D149E"/>
    <w:rsid w:val="002D204A"/>
    <w:rsid w:val="002D55C1"/>
    <w:rsid w:val="002D5EA6"/>
    <w:rsid w:val="002E078E"/>
    <w:rsid w:val="002E0CB6"/>
    <w:rsid w:val="002E1E55"/>
    <w:rsid w:val="002E21BF"/>
    <w:rsid w:val="002E2D7E"/>
    <w:rsid w:val="002E2DB8"/>
    <w:rsid w:val="002E4FD5"/>
    <w:rsid w:val="002E54BD"/>
    <w:rsid w:val="002E70D7"/>
    <w:rsid w:val="002F0FAE"/>
    <w:rsid w:val="002F6657"/>
    <w:rsid w:val="00300B16"/>
    <w:rsid w:val="00300CF7"/>
    <w:rsid w:val="00302AC5"/>
    <w:rsid w:val="00304E44"/>
    <w:rsid w:val="00311FEA"/>
    <w:rsid w:val="003124B9"/>
    <w:rsid w:val="003126DA"/>
    <w:rsid w:val="00314ABF"/>
    <w:rsid w:val="003156E4"/>
    <w:rsid w:val="00316906"/>
    <w:rsid w:val="00322E01"/>
    <w:rsid w:val="00323524"/>
    <w:rsid w:val="00325634"/>
    <w:rsid w:val="0032607F"/>
    <w:rsid w:val="0033186D"/>
    <w:rsid w:val="0033397D"/>
    <w:rsid w:val="0033410D"/>
    <w:rsid w:val="003344A7"/>
    <w:rsid w:val="00335378"/>
    <w:rsid w:val="0033740B"/>
    <w:rsid w:val="0034105D"/>
    <w:rsid w:val="003411C4"/>
    <w:rsid w:val="003424F8"/>
    <w:rsid w:val="00343F1F"/>
    <w:rsid w:val="00344C2B"/>
    <w:rsid w:val="003467D3"/>
    <w:rsid w:val="00346B14"/>
    <w:rsid w:val="003470A1"/>
    <w:rsid w:val="003550EE"/>
    <w:rsid w:val="0035564C"/>
    <w:rsid w:val="003565D4"/>
    <w:rsid w:val="00356DBF"/>
    <w:rsid w:val="0035738A"/>
    <w:rsid w:val="00361AD1"/>
    <w:rsid w:val="00363D74"/>
    <w:rsid w:val="003669A7"/>
    <w:rsid w:val="00367A44"/>
    <w:rsid w:val="00367D3B"/>
    <w:rsid w:val="0037235C"/>
    <w:rsid w:val="00372FA6"/>
    <w:rsid w:val="00373247"/>
    <w:rsid w:val="00373ECE"/>
    <w:rsid w:val="003747FD"/>
    <w:rsid w:val="00376CAB"/>
    <w:rsid w:val="00383305"/>
    <w:rsid w:val="00383847"/>
    <w:rsid w:val="003848B6"/>
    <w:rsid w:val="00385AAF"/>
    <w:rsid w:val="003902F8"/>
    <w:rsid w:val="00390CFD"/>
    <w:rsid w:val="00391A63"/>
    <w:rsid w:val="0039335B"/>
    <w:rsid w:val="00393FCF"/>
    <w:rsid w:val="00394E84"/>
    <w:rsid w:val="00395EE0"/>
    <w:rsid w:val="00396725"/>
    <w:rsid w:val="003A5B06"/>
    <w:rsid w:val="003A6441"/>
    <w:rsid w:val="003A7E5E"/>
    <w:rsid w:val="003B3504"/>
    <w:rsid w:val="003B4778"/>
    <w:rsid w:val="003B630B"/>
    <w:rsid w:val="003C01AE"/>
    <w:rsid w:val="003C1330"/>
    <w:rsid w:val="003C2A48"/>
    <w:rsid w:val="003C2DD1"/>
    <w:rsid w:val="003C439C"/>
    <w:rsid w:val="003C65E1"/>
    <w:rsid w:val="003D00BD"/>
    <w:rsid w:val="003D06AB"/>
    <w:rsid w:val="003D1224"/>
    <w:rsid w:val="003D28AD"/>
    <w:rsid w:val="003D36AB"/>
    <w:rsid w:val="003D5186"/>
    <w:rsid w:val="003E1644"/>
    <w:rsid w:val="003E2222"/>
    <w:rsid w:val="003E2830"/>
    <w:rsid w:val="003E59CF"/>
    <w:rsid w:val="003E62D4"/>
    <w:rsid w:val="003E687D"/>
    <w:rsid w:val="003E6D3A"/>
    <w:rsid w:val="003F0457"/>
    <w:rsid w:val="003F066F"/>
    <w:rsid w:val="003F0CA4"/>
    <w:rsid w:val="003F1CF2"/>
    <w:rsid w:val="003F3200"/>
    <w:rsid w:val="003F4F43"/>
    <w:rsid w:val="003F7688"/>
    <w:rsid w:val="003F7F49"/>
    <w:rsid w:val="00401D17"/>
    <w:rsid w:val="004022C6"/>
    <w:rsid w:val="00402465"/>
    <w:rsid w:val="004027AA"/>
    <w:rsid w:val="00402AFB"/>
    <w:rsid w:val="00403E46"/>
    <w:rsid w:val="00404AA5"/>
    <w:rsid w:val="00404D65"/>
    <w:rsid w:val="00405E86"/>
    <w:rsid w:val="004068E9"/>
    <w:rsid w:val="0040707E"/>
    <w:rsid w:val="0041116B"/>
    <w:rsid w:val="00411306"/>
    <w:rsid w:val="0041139E"/>
    <w:rsid w:val="004114EB"/>
    <w:rsid w:val="004132D8"/>
    <w:rsid w:val="00413472"/>
    <w:rsid w:val="0041384E"/>
    <w:rsid w:val="00415C7F"/>
    <w:rsid w:val="00417BA3"/>
    <w:rsid w:val="00420A92"/>
    <w:rsid w:val="00420D62"/>
    <w:rsid w:val="00422130"/>
    <w:rsid w:val="004237C8"/>
    <w:rsid w:val="00424748"/>
    <w:rsid w:val="0042539E"/>
    <w:rsid w:val="004253CB"/>
    <w:rsid w:val="004254C7"/>
    <w:rsid w:val="00426A75"/>
    <w:rsid w:val="00430E75"/>
    <w:rsid w:val="004321F4"/>
    <w:rsid w:val="00432E63"/>
    <w:rsid w:val="00433627"/>
    <w:rsid w:val="004339AF"/>
    <w:rsid w:val="004345CE"/>
    <w:rsid w:val="00440613"/>
    <w:rsid w:val="004425EE"/>
    <w:rsid w:val="004435CA"/>
    <w:rsid w:val="00444CC6"/>
    <w:rsid w:val="0044588C"/>
    <w:rsid w:val="00450A2F"/>
    <w:rsid w:val="0045312D"/>
    <w:rsid w:val="004532AD"/>
    <w:rsid w:val="00453783"/>
    <w:rsid w:val="004559F1"/>
    <w:rsid w:val="004569B9"/>
    <w:rsid w:val="004571EC"/>
    <w:rsid w:val="00460C3B"/>
    <w:rsid w:val="004616E6"/>
    <w:rsid w:val="00461A6C"/>
    <w:rsid w:val="004628C6"/>
    <w:rsid w:val="00462AD5"/>
    <w:rsid w:val="0046500A"/>
    <w:rsid w:val="00465CC4"/>
    <w:rsid w:val="00467394"/>
    <w:rsid w:val="00467A6D"/>
    <w:rsid w:val="00470C8A"/>
    <w:rsid w:val="0047456E"/>
    <w:rsid w:val="004747AB"/>
    <w:rsid w:val="00477BB8"/>
    <w:rsid w:val="00481046"/>
    <w:rsid w:val="0048281B"/>
    <w:rsid w:val="00483BD0"/>
    <w:rsid w:val="00485177"/>
    <w:rsid w:val="00487C20"/>
    <w:rsid w:val="00490741"/>
    <w:rsid w:val="004915B3"/>
    <w:rsid w:val="0049237E"/>
    <w:rsid w:val="00492920"/>
    <w:rsid w:val="00492C5E"/>
    <w:rsid w:val="004964B1"/>
    <w:rsid w:val="004A0F25"/>
    <w:rsid w:val="004A1541"/>
    <w:rsid w:val="004A1D7E"/>
    <w:rsid w:val="004A2FE6"/>
    <w:rsid w:val="004A4F80"/>
    <w:rsid w:val="004A5B67"/>
    <w:rsid w:val="004A68BC"/>
    <w:rsid w:val="004A7559"/>
    <w:rsid w:val="004B04CE"/>
    <w:rsid w:val="004B105A"/>
    <w:rsid w:val="004B325E"/>
    <w:rsid w:val="004B584A"/>
    <w:rsid w:val="004B6682"/>
    <w:rsid w:val="004B71B0"/>
    <w:rsid w:val="004C1AB8"/>
    <w:rsid w:val="004C257A"/>
    <w:rsid w:val="004C2945"/>
    <w:rsid w:val="004C3229"/>
    <w:rsid w:val="004C3577"/>
    <w:rsid w:val="004C3A70"/>
    <w:rsid w:val="004C507A"/>
    <w:rsid w:val="004C545E"/>
    <w:rsid w:val="004C71F5"/>
    <w:rsid w:val="004C763B"/>
    <w:rsid w:val="004D25E0"/>
    <w:rsid w:val="004D3583"/>
    <w:rsid w:val="004D46CE"/>
    <w:rsid w:val="004D4E4E"/>
    <w:rsid w:val="004D525A"/>
    <w:rsid w:val="004D65CF"/>
    <w:rsid w:val="004D68E4"/>
    <w:rsid w:val="004D7593"/>
    <w:rsid w:val="004E2569"/>
    <w:rsid w:val="004E3E3C"/>
    <w:rsid w:val="004E5A98"/>
    <w:rsid w:val="004E5C44"/>
    <w:rsid w:val="004E6EF1"/>
    <w:rsid w:val="004E70D8"/>
    <w:rsid w:val="004F03A6"/>
    <w:rsid w:val="004F0639"/>
    <w:rsid w:val="004F19F0"/>
    <w:rsid w:val="004F2282"/>
    <w:rsid w:val="004F2A0D"/>
    <w:rsid w:val="004F36E6"/>
    <w:rsid w:val="004F5C95"/>
    <w:rsid w:val="004F6F34"/>
    <w:rsid w:val="005009CF"/>
    <w:rsid w:val="005026A9"/>
    <w:rsid w:val="00502AB7"/>
    <w:rsid w:val="00505DEE"/>
    <w:rsid w:val="00505EBE"/>
    <w:rsid w:val="00511BC9"/>
    <w:rsid w:val="005134CC"/>
    <w:rsid w:val="005141F9"/>
    <w:rsid w:val="005145F4"/>
    <w:rsid w:val="0051614E"/>
    <w:rsid w:val="005179F7"/>
    <w:rsid w:val="0052103D"/>
    <w:rsid w:val="00521788"/>
    <w:rsid w:val="00521DE7"/>
    <w:rsid w:val="00523E40"/>
    <w:rsid w:val="00533A6D"/>
    <w:rsid w:val="005340FE"/>
    <w:rsid w:val="00536411"/>
    <w:rsid w:val="00537A95"/>
    <w:rsid w:val="005410E5"/>
    <w:rsid w:val="005434FD"/>
    <w:rsid w:val="00544B1C"/>
    <w:rsid w:val="00545CD4"/>
    <w:rsid w:val="0055131B"/>
    <w:rsid w:val="00552CCB"/>
    <w:rsid w:val="0055322F"/>
    <w:rsid w:val="0055471E"/>
    <w:rsid w:val="00555865"/>
    <w:rsid w:val="00555D9A"/>
    <w:rsid w:val="00556249"/>
    <w:rsid w:val="00556265"/>
    <w:rsid w:val="0056147E"/>
    <w:rsid w:val="00561BA5"/>
    <w:rsid w:val="00565223"/>
    <w:rsid w:val="00566508"/>
    <w:rsid w:val="0056687C"/>
    <w:rsid w:val="005673B6"/>
    <w:rsid w:val="00571051"/>
    <w:rsid w:val="005724B2"/>
    <w:rsid w:val="00572622"/>
    <w:rsid w:val="00574093"/>
    <w:rsid w:val="005757A5"/>
    <w:rsid w:val="005765A5"/>
    <w:rsid w:val="00577515"/>
    <w:rsid w:val="00577A68"/>
    <w:rsid w:val="00580973"/>
    <w:rsid w:val="005821E2"/>
    <w:rsid w:val="00583A47"/>
    <w:rsid w:val="00584DC0"/>
    <w:rsid w:val="00585004"/>
    <w:rsid w:val="00587753"/>
    <w:rsid w:val="00587A5A"/>
    <w:rsid w:val="00587AC0"/>
    <w:rsid w:val="00590A21"/>
    <w:rsid w:val="00591D6F"/>
    <w:rsid w:val="005939C2"/>
    <w:rsid w:val="005978E7"/>
    <w:rsid w:val="005A0DDC"/>
    <w:rsid w:val="005A1167"/>
    <w:rsid w:val="005A2895"/>
    <w:rsid w:val="005A2F0E"/>
    <w:rsid w:val="005A51AE"/>
    <w:rsid w:val="005A6C6A"/>
    <w:rsid w:val="005A7EFE"/>
    <w:rsid w:val="005B019B"/>
    <w:rsid w:val="005B2310"/>
    <w:rsid w:val="005B553A"/>
    <w:rsid w:val="005B56A5"/>
    <w:rsid w:val="005B68C0"/>
    <w:rsid w:val="005C3064"/>
    <w:rsid w:val="005C48D7"/>
    <w:rsid w:val="005C55A9"/>
    <w:rsid w:val="005C667A"/>
    <w:rsid w:val="005C70BA"/>
    <w:rsid w:val="005D0318"/>
    <w:rsid w:val="005D1982"/>
    <w:rsid w:val="005D1F39"/>
    <w:rsid w:val="005D3308"/>
    <w:rsid w:val="005D35C8"/>
    <w:rsid w:val="005D6456"/>
    <w:rsid w:val="005D662B"/>
    <w:rsid w:val="005E1181"/>
    <w:rsid w:val="005E2DFE"/>
    <w:rsid w:val="005E3159"/>
    <w:rsid w:val="005F0DDC"/>
    <w:rsid w:val="005F1956"/>
    <w:rsid w:val="005F1A1E"/>
    <w:rsid w:val="005F2672"/>
    <w:rsid w:val="005F3163"/>
    <w:rsid w:val="005F5433"/>
    <w:rsid w:val="00606AD5"/>
    <w:rsid w:val="0061240E"/>
    <w:rsid w:val="00612473"/>
    <w:rsid w:val="00612EB3"/>
    <w:rsid w:val="006139A5"/>
    <w:rsid w:val="00613DCD"/>
    <w:rsid w:val="00615F9A"/>
    <w:rsid w:val="00622064"/>
    <w:rsid w:val="006229CF"/>
    <w:rsid w:val="00625C02"/>
    <w:rsid w:val="00627A2E"/>
    <w:rsid w:val="006311D6"/>
    <w:rsid w:val="00631E5F"/>
    <w:rsid w:val="0063363C"/>
    <w:rsid w:val="006365EE"/>
    <w:rsid w:val="00640679"/>
    <w:rsid w:val="00640DB5"/>
    <w:rsid w:val="00641536"/>
    <w:rsid w:val="00647063"/>
    <w:rsid w:val="0064708E"/>
    <w:rsid w:val="00647F86"/>
    <w:rsid w:val="00651171"/>
    <w:rsid w:val="00652517"/>
    <w:rsid w:val="00653E19"/>
    <w:rsid w:val="0065594D"/>
    <w:rsid w:val="0065761C"/>
    <w:rsid w:val="006578D5"/>
    <w:rsid w:val="00661364"/>
    <w:rsid w:val="00661554"/>
    <w:rsid w:val="00662326"/>
    <w:rsid w:val="0066271F"/>
    <w:rsid w:val="00663609"/>
    <w:rsid w:val="0066377E"/>
    <w:rsid w:val="00663868"/>
    <w:rsid w:val="006647B8"/>
    <w:rsid w:val="00667DDF"/>
    <w:rsid w:val="00670063"/>
    <w:rsid w:val="00674403"/>
    <w:rsid w:val="00681629"/>
    <w:rsid w:val="00682D4D"/>
    <w:rsid w:val="00683633"/>
    <w:rsid w:val="00683CEE"/>
    <w:rsid w:val="00684A3D"/>
    <w:rsid w:val="006850C9"/>
    <w:rsid w:val="0068519F"/>
    <w:rsid w:val="00686446"/>
    <w:rsid w:val="006864D9"/>
    <w:rsid w:val="00686A3E"/>
    <w:rsid w:val="0069103E"/>
    <w:rsid w:val="00697E3D"/>
    <w:rsid w:val="006A02DC"/>
    <w:rsid w:val="006A0ED2"/>
    <w:rsid w:val="006A1D7B"/>
    <w:rsid w:val="006A3442"/>
    <w:rsid w:val="006A5324"/>
    <w:rsid w:val="006B1D7C"/>
    <w:rsid w:val="006B1F23"/>
    <w:rsid w:val="006B3B8D"/>
    <w:rsid w:val="006B3FF2"/>
    <w:rsid w:val="006B476F"/>
    <w:rsid w:val="006B5493"/>
    <w:rsid w:val="006B5DB7"/>
    <w:rsid w:val="006B7089"/>
    <w:rsid w:val="006C0387"/>
    <w:rsid w:val="006C04DC"/>
    <w:rsid w:val="006C0665"/>
    <w:rsid w:val="006C0697"/>
    <w:rsid w:val="006C0D1C"/>
    <w:rsid w:val="006C3CE7"/>
    <w:rsid w:val="006C49E3"/>
    <w:rsid w:val="006C521C"/>
    <w:rsid w:val="006D014F"/>
    <w:rsid w:val="006D13AE"/>
    <w:rsid w:val="006D2CE8"/>
    <w:rsid w:val="006D5AA5"/>
    <w:rsid w:val="006D60A7"/>
    <w:rsid w:val="006E0580"/>
    <w:rsid w:val="006E33D0"/>
    <w:rsid w:val="006E796F"/>
    <w:rsid w:val="006F2B3D"/>
    <w:rsid w:val="006F3096"/>
    <w:rsid w:val="006F4A76"/>
    <w:rsid w:val="006F51B0"/>
    <w:rsid w:val="006F64F5"/>
    <w:rsid w:val="006F7ACE"/>
    <w:rsid w:val="007034A8"/>
    <w:rsid w:val="00705DC8"/>
    <w:rsid w:val="00710B29"/>
    <w:rsid w:val="00714058"/>
    <w:rsid w:val="00714BCB"/>
    <w:rsid w:val="00715099"/>
    <w:rsid w:val="00716A7D"/>
    <w:rsid w:val="00720094"/>
    <w:rsid w:val="007200D5"/>
    <w:rsid w:val="00720801"/>
    <w:rsid w:val="00720C11"/>
    <w:rsid w:val="00722DC9"/>
    <w:rsid w:val="00723021"/>
    <w:rsid w:val="00724A5A"/>
    <w:rsid w:val="0072722D"/>
    <w:rsid w:val="007334E6"/>
    <w:rsid w:val="0073398D"/>
    <w:rsid w:val="00737731"/>
    <w:rsid w:val="0074048B"/>
    <w:rsid w:val="007431DD"/>
    <w:rsid w:val="00743BEB"/>
    <w:rsid w:val="0074437A"/>
    <w:rsid w:val="0074461D"/>
    <w:rsid w:val="00744CA8"/>
    <w:rsid w:val="00744F07"/>
    <w:rsid w:val="00745DAF"/>
    <w:rsid w:val="00746A2A"/>
    <w:rsid w:val="0074792D"/>
    <w:rsid w:val="00750256"/>
    <w:rsid w:val="00751752"/>
    <w:rsid w:val="00752564"/>
    <w:rsid w:val="00754EFE"/>
    <w:rsid w:val="00757CDD"/>
    <w:rsid w:val="007636ED"/>
    <w:rsid w:val="007639FE"/>
    <w:rsid w:val="007648EE"/>
    <w:rsid w:val="00767F49"/>
    <w:rsid w:val="00770CFF"/>
    <w:rsid w:val="0077349D"/>
    <w:rsid w:val="00773A92"/>
    <w:rsid w:val="00773F97"/>
    <w:rsid w:val="007804B2"/>
    <w:rsid w:val="00780C21"/>
    <w:rsid w:val="0078273E"/>
    <w:rsid w:val="0078642D"/>
    <w:rsid w:val="00786487"/>
    <w:rsid w:val="00786863"/>
    <w:rsid w:val="00787D25"/>
    <w:rsid w:val="00791522"/>
    <w:rsid w:val="00791B70"/>
    <w:rsid w:val="00791D93"/>
    <w:rsid w:val="00792FE7"/>
    <w:rsid w:val="00793DD7"/>
    <w:rsid w:val="00794496"/>
    <w:rsid w:val="00796875"/>
    <w:rsid w:val="007A0370"/>
    <w:rsid w:val="007A0D8B"/>
    <w:rsid w:val="007A110E"/>
    <w:rsid w:val="007A234B"/>
    <w:rsid w:val="007A3095"/>
    <w:rsid w:val="007A3F59"/>
    <w:rsid w:val="007A5396"/>
    <w:rsid w:val="007A6502"/>
    <w:rsid w:val="007A792D"/>
    <w:rsid w:val="007B1DCF"/>
    <w:rsid w:val="007B2A7D"/>
    <w:rsid w:val="007B3180"/>
    <w:rsid w:val="007B363B"/>
    <w:rsid w:val="007B450A"/>
    <w:rsid w:val="007B6768"/>
    <w:rsid w:val="007B758F"/>
    <w:rsid w:val="007C157F"/>
    <w:rsid w:val="007C29E1"/>
    <w:rsid w:val="007C2EFB"/>
    <w:rsid w:val="007C3589"/>
    <w:rsid w:val="007C38E1"/>
    <w:rsid w:val="007C482F"/>
    <w:rsid w:val="007C50E6"/>
    <w:rsid w:val="007C5110"/>
    <w:rsid w:val="007C6361"/>
    <w:rsid w:val="007C74C6"/>
    <w:rsid w:val="007D0805"/>
    <w:rsid w:val="007D1FC7"/>
    <w:rsid w:val="007D34B3"/>
    <w:rsid w:val="007D3553"/>
    <w:rsid w:val="007D3E77"/>
    <w:rsid w:val="007D7053"/>
    <w:rsid w:val="007E0A73"/>
    <w:rsid w:val="007E0DB3"/>
    <w:rsid w:val="007E1373"/>
    <w:rsid w:val="007E1B8B"/>
    <w:rsid w:val="007E229B"/>
    <w:rsid w:val="007E27A8"/>
    <w:rsid w:val="007E2923"/>
    <w:rsid w:val="007E32BE"/>
    <w:rsid w:val="007E342B"/>
    <w:rsid w:val="007E540E"/>
    <w:rsid w:val="007E7161"/>
    <w:rsid w:val="007F1A72"/>
    <w:rsid w:val="007F1BBD"/>
    <w:rsid w:val="007F5040"/>
    <w:rsid w:val="007F7E6F"/>
    <w:rsid w:val="00800C7F"/>
    <w:rsid w:val="00801A9E"/>
    <w:rsid w:val="00801D6E"/>
    <w:rsid w:val="008023EC"/>
    <w:rsid w:val="00802F56"/>
    <w:rsid w:val="00804BDC"/>
    <w:rsid w:val="00807830"/>
    <w:rsid w:val="00810000"/>
    <w:rsid w:val="008114B8"/>
    <w:rsid w:val="00811CCF"/>
    <w:rsid w:val="00812E7B"/>
    <w:rsid w:val="00813975"/>
    <w:rsid w:val="00814B29"/>
    <w:rsid w:val="00816B7A"/>
    <w:rsid w:val="0082052C"/>
    <w:rsid w:val="00820870"/>
    <w:rsid w:val="00821822"/>
    <w:rsid w:val="00825AC7"/>
    <w:rsid w:val="008269A7"/>
    <w:rsid w:val="00831423"/>
    <w:rsid w:val="008319D2"/>
    <w:rsid w:val="00832CDA"/>
    <w:rsid w:val="00834FA7"/>
    <w:rsid w:val="00841D4A"/>
    <w:rsid w:val="008424A5"/>
    <w:rsid w:val="00845042"/>
    <w:rsid w:val="0084557C"/>
    <w:rsid w:val="00845590"/>
    <w:rsid w:val="00846848"/>
    <w:rsid w:val="008500CB"/>
    <w:rsid w:val="0085125F"/>
    <w:rsid w:val="00851D8D"/>
    <w:rsid w:val="00852382"/>
    <w:rsid w:val="008555B8"/>
    <w:rsid w:val="008563EF"/>
    <w:rsid w:val="0086047C"/>
    <w:rsid w:val="00861765"/>
    <w:rsid w:val="0086237A"/>
    <w:rsid w:val="00862754"/>
    <w:rsid w:val="00863382"/>
    <w:rsid w:val="00865A6C"/>
    <w:rsid w:val="0086655B"/>
    <w:rsid w:val="00867763"/>
    <w:rsid w:val="00870DBA"/>
    <w:rsid w:val="00872DC0"/>
    <w:rsid w:val="0087540F"/>
    <w:rsid w:val="00875C6A"/>
    <w:rsid w:val="008762CE"/>
    <w:rsid w:val="00881943"/>
    <w:rsid w:val="00883A60"/>
    <w:rsid w:val="00884C52"/>
    <w:rsid w:val="00885229"/>
    <w:rsid w:val="00886283"/>
    <w:rsid w:val="008872ED"/>
    <w:rsid w:val="00887961"/>
    <w:rsid w:val="00890A0B"/>
    <w:rsid w:val="0089113E"/>
    <w:rsid w:val="008912FE"/>
    <w:rsid w:val="00892093"/>
    <w:rsid w:val="00893622"/>
    <w:rsid w:val="008953BF"/>
    <w:rsid w:val="00896293"/>
    <w:rsid w:val="00897EAF"/>
    <w:rsid w:val="008A0891"/>
    <w:rsid w:val="008A0B99"/>
    <w:rsid w:val="008A2346"/>
    <w:rsid w:val="008A5548"/>
    <w:rsid w:val="008A6445"/>
    <w:rsid w:val="008B4725"/>
    <w:rsid w:val="008B52A8"/>
    <w:rsid w:val="008B6DDE"/>
    <w:rsid w:val="008B6E24"/>
    <w:rsid w:val="008C0341"/>
    <w:rsid w:val="008C0873"/>
    <w:rsid w:val="008C2C65"/>
    <w:rsid w:val="008C416F"/>
    <w:rsid w:val="008C77AE"/>
    <w:rsid w:val="008D2CBA"/>
    <w:rsid w:val="008D2DB1"/>
    <w:rsid w:val="008D3888"/>
    <w:rsid w:val="008D3DCF"/>
    <w:rsid w:val="008D4DDC"/>
    <w:rsid w:val="008D735D"/>
    <w:rsid w:val="008D75BC"/>
    <w:rsid w:val="008D7EDF"/>
    <w:rsid w:val="008E2C41"/>
    <w:rsid w:val="008E5D93"/>
    <w:rsid w:val="008E6AB8"/>
    <w:rsid w:val="008F075A"/>
    <w:rsid w:val="008F12CF"/>
    <w:rsid w:val="008F13A6"/>
    <w:rsid w:val="008F2AAC"/>
    <w:rsid w:val="008F3C75"/>
    <w:rsid w:val="008F5D15"/>
    <w:rsid w:val="00901C7A"/>
    <w:rsid w:val="00903143"/>
    <w:rsid w:val="00903DD6"/>
    <w:rsid w:val="00904FA8"/>
    <w:rsid w:val="00911FB6"/>
    <w:rsid w:val="009142CB"/>
    <w:rsid w:val="00915866"/>
    <w:rsid w:val="00915E12"/>
    <w:rsid w:val="00915E30"/>
    <w:rsid w:val="0092023F"/>
    <w:rsid w:val="0092244A"/>
    <w:rsid w:val="0092351C"/>
    <w:rsid w:val="00924B35"/>
    <w:rsid w:val="00926251"/>
    <w:rsid w:val="009305CC"/>
    <w:rsid w:val="00935043"/>
    <w:rsid w:val="00935598"/>
    <w:rsid w:val="009359B1"/>
    <w:rsid w:val="00936C67"/>
    <w:rsid w:val="00940828"/>
    <w:rsid w:val="00940D6D"/>
    <w:rsid w:val="00942706"/>
    <w:rsid w:val="009455A9"/>
    <w:rsid w:val="009464CA"/>
    <w:rsid w:val="009466B6"/>
    <w:rsid w:val="009517A5"/>
    <w:rsid w:val="00953186"/>
    <w:rsid w:val="00953EE4"/>
    <w:rsid w:val="00954BA3"/>
    <w:rsid w:val="009552CE"/>
    <w:rsid w:val="0095575D"/>
    <w:rsid w:val="00957278"/>
    <w:rsid w:val="0096219D"/>
    <w:rsid w:val="00963BDD"/>
    <w:rsid w:val="00970B17"/>
    <w:rsid w:val="00973AAF"/>
    <w:rsid w:val="00974404"/>
    <w:rsid w:val="00982B6F"/>
    <w:rsid w:val="00983F45"/>
    <w:rsid w:val="009855C3"/>
    <w:rsid w:val="00985610"/>
    <w:rsid w:val="0098689B"/>
    <w:rsid w:val="009872F9"/>
    <w:rsid w:val="009873E2"/>
    <w:rsid w:val="00992836"/>
    <w:rsid w:val="00992FCC"/>
    <w:rsid w:val="009A1900"/>
    <w:rsid w:val="009A4E56"/>
    <w:rsid w:val="009A5A22"/>
    <w:rsid w:val="009A6138"/>
    <w:rsid w:val="009A7130"/>
    <w:rsid w:val="009B3633"/>
    <w:rsid w:val="009B4805"/>
    <w:rsid w:val="009B4D0A"/>
    <w:rsid w:val="009B5672"/>
    <w:rsid w:val="009B787D"/>
    <w:rsid w:val="009C0AFE"/>
    <w:rsid w:val="009C0BF0"/>
    <w:rsid w:val="009C2703"/>
    <w:rsid w:val="009C279C"/>
    <w:rsid w:val="009C31D9"/>
    <w:rsid w:val="009C3C94"/>
    <w:rsid w:val="009C4108"/>
    <w:rsid w:val="009C54F4"/>
    <w:rsid w:val="009C5CDA"/>
    <w:rsid w:val="009C6708"/>
    <w:rsid w:val="009C7F56"/>
    <w:rsid w:val="009D180D"/>
    <w:rsid w:val="009D2244"/>
    <w:rsid w:val="009D2B48"/>
    <w:rsid w:val="009D2C9C"/>
    <w:rsid w:val="009D4B6E"/>
    <w:rsid w:val="009D60A7"/>
    <w:rsid w:val="009D6711"/>
    <w:rsid w:val="009D7097"/>
    <w:rsid w:val="009E6C6F"/>
    <w:rsid w:val="009E7D5A"/>
    <w:rsid w:val="009E7F0D"/>
    <w:rsid w:val="009F173C"/>
    <w:rsid w:val="009F1FE7"/>
    <w:rsid w:val="009F2DEE"/>
    <w:rsid w:val="009F2FF0"/>
    <w:rsid w:val="009F616A"/>
    <w:rsid w:val="009F633D"/>
    <w:rsid w:val="00A00B13"/>
    <w:rsid w:val="00A011AA"/>
    <w:rsid w:val="00A01E4F"/>
    <w:rsid w:val="00A047FD"/>
    <w:rsid w:val="00A04DDF"/>
    <w:rsid w:val="00A057E4"/>
    <w:rsid w:val="00A05B8E"/>
    <w:rsid w:val="00A05FBF"/>
    <w:rsid w:val="00A06DCB"/>
    <w:rsid w:val="00A07011"/>
    <w:rsid w:val="00A076BE"/>
    <w:rsid w:val="00A10CEE"/>
    <w:rsid w:val="00A12443"/>
    <w:rsid w:val="00A126A9"/>
    <w:rsid w:val="00A17166"/>
    <w:rsid w:val="00A174F6"/>
    <w:rsid w:val="00A20E13"/>
    <w:rsid w:val="00A22FB3"/>
    <w:rsid w:val="00A24244"/>
    <w:rsid w:val="00A2655F"/>
    <w:rsid w:val="00A30404"/>
    <w:rsid w:val="00A304D0"/>
    <w:rsid w:val="00A3075A"/>
    <w:rsid w:val="00A31016"/>
    <w:rsid w:val="00A32169"/>
    <w:rsid w:val="00A338D1"/>
    <w:rsid w:val="00A37FD4"/>
    <w:rsid w:val="00A408EA"/>
    <w:rsid w:val="00A422E3"/>
    <w:rsid w:val="00A42B55"/>
    <w:rsid w:val="00A43562"/>
    <w:rsid w:val="00A463D1"/>
    <w:rsid w:val="00A46CA9"/>
    <w:rsid w:val="00A4708B"/>
    <w:rsid w:val="00A50AC8"/>
    <w:rsid w:val="00A51FEE"/>
    <w:rsid w:val="00A546F4"/>
    <w:rsid w:val="00A54BB6"/>
    <w:rsid w:val="00A5569F"/>
    <w:rsid w:val="00A63AE7"/>
    <w:rsid w:val="00A6487D"/>
    <w:rsid w:val="00A64D25"/>
    <w:rsid w:val="00A64DA3"/>
    <w:rsid w:val="00A6504D"/>
    <w:rsid w:val="00A6594C"/>
    <w:rsid w:val="00A659B9"/>
    <w:rsid w:val="00A66DCA"/>
    <w:rsid w:val="00A7306E"/>
    <w:rsid w:val="00A74C24"/>
    <w:rsid w:val="00A759D0"/>
    <w:rsid w:val="00A768EF"/>
    <w:rsid w:val="00A80522"/>
    <w:rsid w:val="00A84325"/>
    <w:rsid w:val="00A86A81"/>
    <w:rsid w:val="00A91114"/>
    <w:rsid w:val="00A93881"/>
    <w:rsid w:val="00A94B1D"/>
    <w:rsid w:val="00A97BAA"/>
    <w:rsid w:val="00A97C5A"/>
    <w:rsid w:val="00AA2BA6"/>
    <w:rsid w:val="00AA379A"/>
    <w:rsid w:val="00AA5556"/>
    <w:rsid w:val="00AA5CA2"/>
    <w:rsid w:val="00AA6AFB"/>
    <w:rsid w:val="00AB152B"/>
    <w:rsid w:val="00AB1F41"/>
    <w:rsid w:val="00AB1FA5"/>
    <w:rsid w:val="00AB297A"/>
    <w:rsid w:val="00AB2A4E"/>
    <w:rsid w:val="00AB3152"/>
    <w:rsid w:val="00AB4563"/>
    <w:rsid w:val="00AB5942"/>
    <w:rsid w:val="00AB742F"/>
    <w:rsid w:val="00AB7FDB"/>
    <w:rsid w:val="00AC01B1"/>
    <w:rsid w:val="00AC0D9E"/>
    <w:rsid w:val="00AC1BBB"/>
    <w:rsid w:val="00AC24D3"/>
    <w:rsid w:val="00AC2A07"/>
    <w:rsid w:val="00AC4ACD"/>
    <w:rsid w:val="00AC5ED7"/>
    <w:rsid w:val="00AC6FCB"/>
    <w:rsid w:val="00AC782F"/>
    <w:rsid w:val="00AD07FE"/>
    <w:rsid w:val="00AD0A14"/>
    <w:rsid w:val="00AD179D"/>
    <w:rsid w:val="00AD1B63"/>
    <w:rsid w:val="00AD36E7"/>
    <w:rsid w:val="00AD44DB"/>
    <w:rsid w:val="00AD6041"/>
    <w:rsid w:val="00AD6A11"/>
    <w:rsid w:val="00AD6DB8"/>
    <w:rsid w:val="00AE0572"/>
    <w:rsid w:val="00AE0D4C"/>
    <w:rsid w:val="00AE132B"/>
    <w:rsid w:val="00AE16D9"/>
    <w:rsid w:val="00AE26D5"/>
    <w:rsid w:val="00AE7F2C"/>
    <w:rsid w:val="00AF2DA8"/>
    <w:rsid w:val="00AF478D"/>
    <w:rsid w:val="00AF4E11"/>
    <w:rsid w:val="00AF604A"/>
    <w:rsid w:val="00B0166E"/>
    <w:rsid w:val="00B04251"/>
    <w:rsid w:val="00B045E3"/>
    <w:rsid w:val="00B04DE1"/>
    <w:rsid w:val="00B04F8E"/>
    <w:rsid w:val="00B0590E"/>
    <w:rsid w:val="00B06037"/>
    <w:rsid w:val="00B13129"/>
    <w:rsid w:val="00B14712"/>
    <w:rsid w:val="00B16D5B"/>
    <w:rsid w:val="00B229A4"/>
    <w:rsid w:val="00B23FE4"/>
    <w:rsid w:val="00B2635E"/>
    <w:rsid w:val="00B26406"/>
    <w:rsid w:val="00B27F50"/>
    <w:rsid w:val="00B301B3"/>
    <w:rsid w:val="00B34795"/>
    <w:rsid w:val="00B3617A"/>
    <w:rsid w:val="00B36E15"/>
    <w:rsid w:val="00B37DF6"/>
    <w:rsid w:val="00B37EAD"/>
    <w:rsid w:val="00B404A9"/>
    <w:rsid w:val="00B448ED"/>
    <w:rsid w:val="00B457F2"/>
    <w:rsid w:val="00B458B8"/>
    <w:rsid w:val="00B45ABE"/>
    <w:rsid w:val="00B4604D"/>
    <w:rsid w:val="00B47C05"/>
    <w:rsid w:val="00B50444"/>
    <w:rsid w:val="00B50607"/>
    <w:rsid w:val="00B50D59"/>
    <w:rsid w:val="00B5224F"/>
    <w:rsid w:val="00B542C2"/>
    <w:rsid w:val="00B61169"/>
    <w:rsid w:val="00B736B1"/>
    <w:rsid w:val="00B7459F"/>
    <w:rsid w:val="00B8097E"/>
    <w:rsid w:val="00B82B5C"/>
    <w:rsid w:val="00B82FAA"/>
    <w:rsid w:val="00B85146"/>
    <w:rsid w:val="00B85C66"/>
    <w:rsid w:val="00B8661B"/>
    <w:rsid w:val="00B8720B"/>
    <w:rsid w:val="00B908C3"/>
    <w:rsid w:val="00B9139A"/>
    <w:rsid w:val="00B9285C"/>
    <w:rsid w:val="00B956F9"/>
    <w:rsid w:val="00B97C87"/>
    <w:rsid w:val="00BA0010"/>
    <w:rsid w:val="00BA0930"/>
    <w:rsid w:val="00BA0AAA"/>
    <w:rsid w:val="00BA32C1"/>
    <w:rsid w:val="00BA4154"/>
    <w:rsid w:val="00BA6BC5"/>
    <w:rsid w:val="00BB024E"/>
    <w:rsid w:val="00BB0793"/>
    <w:rsid w:val="00BB0861"/>
    <w:rsid w:val="00BB7744"/>
    <w:rsid w:val="00BC1D02"/>
    <w:rsid w:val="00BC1FF2"/>
    <w:rsid w:val="00BC3673"/>
    <w:rsid w:val="00BC61AE"/>
    <w:rsid w:val="00BD1D2F"/>
    <w:rsid w:val="00BD24D9"/>
    <w:rsid w:val="00BD2ED1"/>
    <w:rsid w:val="00BD429D"/>
    <w:rsid w:val="00BD4DCA"/>
    <w:rsid w:val="00BD55C0"/>
    <w:rsid w:val="00BD5F13"/>
    <w:rsid w:val="00BD6671"/>
    <w:rsid w:val="00BE001F"/>
    <w:rsid w:val="00BE01D1"/>
    <w:rsid w:val="00BE0718"/>
    <w:rsid w:val="00BE25F7"/>
    <w:rsid w:val="00BE4396"/>
    <w:rsid w:val="00BE50E7"/>
    <w:rsid w:val="00BE5732"/>
    <w:rsid w:val="00BE69AF"/>
    <w:rsid w:val="00BE6A82"/>
    <w:rsid w:val="00BE7A93"/>
    <w:rsid w:val="00BF02CC"/>
    <w:rsid w:val="00BF2476"/>
    <w:rsid w:val="00BF2E76"/>
    <w:rsid w:val="00BF3960"/>
    <w:rsid w:val="00BF3B41"/>
    <w:rsid w:val="00C0198F"/>
    <w:rsid w:val="00C01B3E"/>
    <w:rsid w:val="00C06EF9"/>
    <w:rsid w:val="00C07E89"/>
    <w:rsid w:val="00C110A0"/>
    <w:rsid w:val="00C1381D"/>
    <w:rsid w:val="00C1425A"/>
    <w:rsid w:val="00C14811"/>
    <w:rsid w:val="00C14D9D"/>
    <w:rsid w:val="00C20A11"/>
    <w:rsid w:val="00C213C1"/>
    <w:rsid w:val="00C21FA2"/>
    <w:rsid w:val="00C223D6"/>
    <w:rsid w:val="00C23041"/>
    <w:rsid w:val="00C2329A"/>
    <w:rsid w:val="00C23460"/>
    <w:rsid w:val="00C26D0D"/>
    <w:rsid w:val="00C302CA"/>
    <w:rsid w:val="00C31F1D"/>
    <w:rsid w:val="00C333E3"/>
    <w:rsid w:val="00C36C75"/>
    <w:rsid w:val="00C36EFF"/>
    <w:rsid w:val="00C374DE"/>
    <w:rsid w:val="00C375FD"/>
    <w:rsid w:val="00C416B0"/>
    <w:rsid w:val="00C41C2E"/>
    <w:rsid w:val="00C4359E"/>
    <w:rsid w:val="00C45204"/>
    <w:rsid w:val="00C47D81"/>
    <w:rsid w:val="00C50745"/>
    <w:rsid w:val="00C519A0"/>
    <w:rsid w:val="00C55BF9"/>
    <w:rsid w:val="00C6098C"/>
    <w:rsid w:val="00C60AEB"/>
    <w:rsid w:val="00C60DCB"/>
    <w:rsid w:val="00C61260"/>
    <w:rsid w:val="00C62BD2"/>
    <w:rsid w:val="00C63073"/>
    <w:rsid w:val="00C63D4F"/>
    <w:rsid w:val="00C64E24"/>
    <w:rsid w:val="00C64F81"/>
    <w:rsid w:val="00C6579E"/>
    <w:rsid w:val="00C71792"/>
    <w:rsid w:val="00C8229C"/>
    <w:rsid w:val="00C851E3"/>
    <w:rsid w:val="00C873B8"/>
    <w:rsid w:val="00C87F0E"/>
    <w:rsid w:val="00C9279F"/>
    <w:rsid w:val="00CA3273"/>
    <w:rsid w:val="00CA72D1"/>
    <w:rsid w:val="00CA7BDD"/>
    <w:rsid w:val="00CB2988"/>
    <w:rsid w:val="00CB3E2E"/>
    <w:rsid w:val="00CB411F"/>
    <w:rsid w:val="00CB499D"/>
    <w:rsid w:val="00CB58B6"/>
    <w:rsid w:val="00CB6D9A"/>
    <w:rsid w:val="00CC0844"/>
    <w:rsid w:val="00CC3488"/>
    <w:rsid w:val="00CC505B"/>
    <w:rsid w:val="00CC623B"/>
    <w:rsid w:val="00CC6F04"/>
    <w:rsid w:val="00CC7D0C"/>
    <w:rsid w:val="00CC7E35"/>
    <w:rsid w:val="00CD0763"/>
    <w:rsid w:val="00CD1E58"/>
    <w:rsid w:val="00CD2323"/>
    <w:rsid w:val="00CD28F5"/>
    <w:rsid w:val="00CD2D37"/>
    <w:rsid w:val="00CD4187"/>
    <w:rsid w:val="00CD4601"/>
    <w:rsid w:val="00CD4ADD"/>
    <w:rsid w:val="00CD522F"/>
    <w:rsid w:val="00CD6056"/>
    <w:rsid w:val="00CD6BF3"/>
    <w:rsid w:val="00CE1039"/>
    <w:rsid w:val="00CE4136"/>
    <w:rsid w:val="00CE5FA5"/>
    <w:rsid w:val="00CF00F6"/>
    <w:rsid w:val="00CF01D0"/>
    <w:rsid w:val="00CF058C"/>
    <w:rsid w:val="00CF1E48"/>
    <w:rsid w:val="00CF2D25"/>
    <w:rsid w:val="00CF473C"/>
    <w:rsid w:val="00CF6306"/>
    <w:rsid w:val="00CF740C"/>
    <w:rsid w:val="00CF7AEA"/>
    <w:rsid w:val="00D00C86"/>
    <w:rsid w:val="00D00F42"/>
    <w:rsid w:val="00D02BE5"/>
    <w:rsid w:val="00D02E4D"/>
    <w:rsid w:val="00D04024"/>
    <w:rsid w:val="00D15DC3"/>
    <w:rsid w:val="00D162A6"/>
    <w:rsid w:val="00D165EF"/>
    <w:rsid w:val="00D17306"/>
    <w:rsid w:val="00D22EF8"/>
    <w:rsid w:val="00D22F98"/>
    <w:rsid w:val="00D22FD1"/>
    <w:rsid w:val="00D23C81"/>
    <w:rsid w:val="00D27BF5"/>
    <w:rsid w:val="00D27E58"/>
    <w:rsid w:val="00D31ADB"/>
    <w:rsid w:val="00D32DFA"/>
    <w:rsid w:val="00D33B90"/>
    <w:rsid w:val="00D33E06"/>
    <w:rsid w:val="00D34974"/>
    <w:rsid w:val="00D425AC"/>
    <w:rsid w:val="00D42CAF"/>
    <w:rsid w:val="00D43F9B"/>
    <w:rsid w:val="00D44225"/>
    <w:rsid w:val="00D458D1"/>
    <w:rsid w:val="00D467E4"/>
    <w:rsid w:val="00D50043"/>
    <w:rsid w:val="00D5020F"/>
    <w:rsid w:val="00D51A5B"/>
    <w:rsid w:val="00D53D62"/>
    <w:rsid w:val="00D54425"/>
    <w:rsid w:val="00D55E41"/>
    <w:rsid w:val="00D56285"/>
    <w:rsid w:val="00D56889"/>
    <w:rsid w:val="00D56E89"/>
    <w:rsid w:val="00D57443"/>
    <w:rsid w:val="00D57DD3"/>
    <w:rsid w:val="00D57FF1"/>
    <w:rsid w:val="00D60CB8"/>
    <w:rsid w:val="00D6139E"/>
    <w:rsid w:val="00D62255"/>
    <w:rsid w:val="00D66589"/>
    <w:rsid w:val="00D712E4"/>
    <w:rsid w:val="00D71FF5"/>
    <w:rsid w:val="00D72E4D"/>
    <w:rsid w:val="00D730AC"/>
    <w:rsid w:val="00D73933"/>
    <w:rsid w:val="00D7456A"/>
    <w:rsid w:val="00D771D8"/>
    <w:rsid w:val="00D7730C"/>
    <w:rsid w:val="00D80343"/>
    <w:rsid w:val="00D854DD"/>
    <w:rsid w:val="00D86648"/>
    <w:rsid w:val="00D962BB"/>
    <w:rsid w:val="00DA08AC"/>
    <w:rsid w:val="00DA0F27"/>
    <w:rsid w:val="00DA2452"/>
    <w:rsid w:val="00DA24D7"/>
    <w:rsid w:val="00DA324F"/>
    <w:rsid w:val="00DA39C0"/>
    <w:rsid w:val="00DA52A7"/>
    <w:rsid w:val="00DA6DF9"/>
    <w:rsid w:val="00DB032C"/>
    <w:rsid w:val="00DB0B22"/>
    <w:rsid w:val="00DB1449"/>
    <w:rsid w:val="00DB3029"/>
    <w:rsid w:val="00DB33FD"/>
    <w:rsid w:val="00DB6E13"/>
    <w:rsid w:val="00DC0E99"/>
    <w:rsid w:val="00DC170E"/>
    <w:rsid w:val="00DC2338"/>
    <w:rsid w:val="00DC3FC7"/>
    <w:rsid w:val="00DC4564"/>
    <w:rsid w:val="00DC640F"/>
    <w:rsid w:val="00DD39EE"/>
    <w:rsid w:val="00DE37C3"/>
    <w:rsid w:val="00DE3ED1"/>
    <w:rsid w:val="00DE4C90"/>
    <w:rsid w:val="00DE53E5"/>
    <w:rsid w:val="00DE5460"/>
    <w:rsid w:val="00DE6164"/>
    <w:rsid w:val="00DE6BFA"/>
    <w:rsid w:val="00DF1A51"/>
    <w:rsid w:val="00DF2C8E"/>
    <w:rsid w:val="00DF6478"/>
    <w:rsid w:val="00DF6777"/>
    <w:rsid w:val="00E008CA"/>
    <w:rsid w:val="00E01A52"/>
    <w:rsid w:val="00E032E0"/>
    <w:rsid w:val="00E03708"/>
    <w:rsid w:val="00E044FD"/>
    <w:rsid w:val="00E056D5"/>
    <w:rsid w:val="00E0759E"/>
    <w:rsid w:val="00E17BD1"/>
    <w:rsid w:val="00E20A81"/>
    <w:rsid w:val="00E21872"/>
    <w:rsid w:val="00E21F42"/>
    <w:rsid w:val="00E232C3"/>
    <w:rsid w:val="00E328B1"/>
    <w:rsid w:val="00E3359C"/>
    <w:rsid w:val="00E367AA"/>
    <w:rsid w:val="00E37A05"/>
    <w:rsid w:val="00E426AC"/>
    <w:rsid w:val="00E43AB4"/>
    <w:rsid w:val="00E467FE"/>
    <w:rsid w:val="00E468B2"/>
    <w:rsid w:val="00E468EB"/>
    <w:rsid w:val="00E46E4A"/>
    <w:rsid w:val="00E47EE6"/>
    <w:rsid w:val="00E50B63"/>
    <w:rsid w:val="00E50F5B"/>
    <w:rsid w:val="00E53C90"/>
    <w:rsid w:val="00E55092"/>
    <w:rsid w:val="00E55598"/>
    <w:rsid w:val="00E5588C"/>
    <w:rsid w:val="00E57897"/>
    <w:rsid w:val="00E57BDD"/>
    <w:rsid w:val="00E602B1"/>
    <w:rsid w:val="00E62038"/>
    <w:rsid w:val="00E6581F"/>
    <w:rsid w:val="00E66510"/>
    <w:rsid w:val="00E66D2C"/>
    <w:rsid w:val="00E709F0"/>
    <w:rsid w:val="00E714A6"/>
    <w:rsid w:val="00E7233A"/>
    <w:rsid w:val="00E73077"/>
    <w:rsid w:val="00E75356"/>
    <w:rsid w:val="00E759DB"/>
    <w:rsid w:val="00E80542"/>
    <w:rsid w:val="00E805A7"/>
    <w:rsid w:val="00E8121D"/>
    <w:rsid w:val="00E81238"/>
    <w:rsid w:val="00E826F7"/>
    <w:rsid w:val="00E832A5"/>
    <w:rsid w:val="00E84FF3"/>
    <w:rsid w:val="00E86490"/>
    <w:rsid w:val="00E8675C"/>
    <w:rsid w:val="00E91AFC"/>
    <w:rsid w:val="00E927CB"/>
    <w:rsid w:val="00E935B5"/>
    <w:rsid w:val="00E93A6F"/>
    <w:rsid w:val="00E94F91"/>
    <w:rsid w:val="00E95516"/>
    <w:rsid w:val="00E95D23"/>
    <w:rsid w:val="00E96896"/>
    <w:rsid w:val="00E97F63"/>
    <w:rsid w:val="00EA7ABB"/>
    <w:rsid w:val="00EB0D9A"/>
    <w:rsid w:val="00EB2528"/>
    <w:rsid w:val="00EB358D"/>
    <w:rsid w:val="00EB562A"/>
    <w:rsid w:val="00EB620D"/>
    <w:rsid w:val="00EB7A5A"/>
    <w:rsid w:val="00EB7E21"/>
    <w:rsid w:val="00EC1670"/>
    <w:rsid w:val="00EC1D1D"/>
    <w:rsid w:val="00EC2C4A"/>
    <w:rsid w:val="00EC5178"/>
    <w:rsid w:val="00EC5617"/>
    <w:rsid w:val="00ED4502"/>
    <w:rsid w:val="00ED6417"/>
    <w:rsid w:val="00EE05FC"/>
    <w:rsid w:val="00EE0999"/>
    <w:rsid w:val="00EE2B5D"/>
    <w:rsid w:val="00EE315A"/>
    <w:rsid w:val="00EE3A07"/>
    <w:rsid w:val="00EE4599"/>
    <w:rsid w:val="00EE4E65"/>
    <w:rsid w:val="00EE5511"/>
    <w:rsid w:val="00EE629A"/>
    <w:rsid w:val="00EF05E0"/>
    <w:rsid w:val="00EF0DA0"/>
    <w:rsid w:val="00EF1C25"/>
    <w:rsid w:val="00EF3AC0"/>
    <w:rsid w:val="00EF4E22"/>
    <w:rsid w:val="00EF5C07"/>
    <w:rsid w:val="00EF67CF"/>
    <w:rsid w:val="00F0040C"/>
    <w:rsid w:val="00F010C8"/>
    <w:rsid w:val="00F028C6"/>
    <w:rsid w:val="00F038EC"/>
    <w:rsid w:val="00F06305"/>
    <w:rsid w:val="00F0642F"/>
    <w:rsid w:val="00F06624"/>
    <w:rsid w:val="00F20A93"/>
    <w:rsid w:val="00F22F59"/>
    <w:rsid w:val="00F23C16"/>
    <w:rsid w:val="00F248B4"/>
    <w:rsid w:val="00F2558B"/>
    <w:rsid w:val="00F309DA"/>
    <w:rsid w:val="00F32D72"/>
    <w:rsid w:val="00F32EC6"/>
    <w:rsid w:val="00F33C5E"/>
    <w:rsid w:val="00F34F05"/>
    <w:rsid w:val="00F355C8"/>
    <w:rsid w:val="00F36035"/>
    <w:rsid w:val="00F3694C"/>
    <w:rsid w:val="00F3766D"/>
    <w:rsid w:val="00F4292C"/>
    <w:rsid w:val="00F42AF1"/>
    <w:rsid w:val="00F42E90"/>
    <w:rsid w:val="00F43FE8"/>
    <w:rsid w:val="00F4456F"/>
    <w:rsid w:val="00F45DEC"/>
    <w:rsid w:val="00F46957"/>
    <w:rsid w:val="00F47895"/>
    <w:rsid w:val="00F47936"/>
    <w:rsid w:val="00F4795C"/>
    <w:rsid w:val="00F47AC2"/>
    <w:rsid w:val="00F509CF"/>
    <w:rsid w:val="00F50A87"/>
    <w:rsid w:val="00F51F26"/>
    <w:rsid w:val="00F53FFD"/>
    <w:rsid w:val="00F541B1"/>
    <w:rsid w:val="00F56948"/>
    <w:rsid w:val="00F57960"/>
    <w:rsid w:val="00F57DCB"/>
    <w:rsid w:val="00F61376"/>
    <w:rsid w:val="00F620C4"/>
    <w:rsid w:val="00F62AB3"/>
    <w:rsid w:val="00F637A5"/>
    <w:rsid w:val="00F640DA"/>
    <w:rsid w:val="00F64655"/>
    <w:rsid w:val="00F71C3C"/>
    <w:rsid w:val="00F75B12"/>
    <w:rsid w:val="00F75FAF"/>
    <w:rsid w:val="00F77928"/>
    <w:rsid w:val="00F77F76"/>
    <w:rsid w:val="00F80402"/>
    <w:rsid w:val="00F80DF6"/>
    <w:rsid w:val="00F81339"/>
    <w:rsid w:val="00F8252A"/>
    <w:rsid w:val="00F82C7F"/>
    <w:rsid w:val="00F839C2"/>
    <w:rsid w:val="00F86753"/>
    <w:rsid w:val="00F86D19"/>
    <w:rsid w:val="00F8744F"/>
    <w:rsid w:val="00F90B29"/>
    <w:rsid w:val="00F924DE"/>
    <w:rsid w:val="00F92A87"/>
    <w:rsid w:val="00F94CD0"/>
    <w:rsid w:val="00F9648E"/>
    <w:rsid w:val="00F97088"/>
    <w:rsid w:val="00F97B63"/>
    <w:rsid w:val="00F97FCF"/>
    <w:rsid w:val="00FA184F"/>
    <w:rsid w:val="00FA2608"/>
    <w:rsid w:val="00FA4040"/>
    <w:rsid w:val="00FA67F1"/>
    <w:rsid w:val="00FA73F4"/>
    <w:rsid w:val="00FA7564"/>
    <w:rsid w:val="00FB1FFC"/>
    <w:rsid w:val="00FB2F0F"/>
    <w:rsid w:val="00FB491E"/>
    <w:rsid w:val="00FB4C44"/>
    <w:rsid w:val="00FB7DBD"/>
    <w:rsid w:val="00FC03D2"/>
    <w:rsid w:val="00FC18CB"/>
    <w:rsid w:val="00FC2FB9"/>
    <w:rsid w:val="00FC5FEB"/>
    <w:rsid w:val="00FC720D"/>
    <w:rsid w:val="00FC7B79"/>
    <w:rsid w:val="00FD072E"/>
    <w:rsid w:val="00FD1227"/>
    <w:rsid w:val="00FD16A9"/>
    <w:rsid w:val="00FD3605"/>
    <w:rsid w:val="00FD6088"/>
    <w:rsid w:val="00FD7B63"/>
    <w:rsid w:val="00FE00BC"/>
    <w:rsid w:val="00FE59DF"/>
    <w:rsid w:val="00FE7B92"/>
    <w:rsid w:val="00FF1596"/>
    <w:rsid w:val="00FF514A"/>
    <w:rsid w:val="00FF52F0"/>
    <w:rsid w:val="00FF5853"/>
    <w:rsid w:val="00FF58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4B5A4-CCAF-4CAE-A250-748CF163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AFD"/>
  </w:style>
  <w:style w:type="paragraph" w:styleId="Titre1">
    <w:name w:val="heading 1"/>
    <w:basedOn w:val="Normal"/>
    <w:link w:val="Titre1Car"/>
    <w:uiPriority w:val="9"/>
    <w:qFormat/>
    <w:rsid w:val="00911F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0755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665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1FB6"/>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F0642F"/>
    <w:pPr>
      <w:ind w:left="720"/>
      <w:contextualSpacing/>
    </w:pPr>
  </w:style>
  <w:style w:type="character" w:customStyle="1" w:styleId="Titre2Car">
    <w:name w:val="Titre 2 Car"/>
    <w:basedOn w:val="Policepardfaut"/>
    <w:link w:val="Titre2"/>
    <w:uiPriority w:val="9"/>
    <w:rsid w:val="0007550A"/>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A8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94E84"/>
    <w:pPr>
      <w:tabs>
        <w:tab w:val="center" w:pos="4536"/>
        <w:tab w:val="right" w:pos="9072"/>
      </w:tabs>
      <w:spacing w:after="0" w:line="240" w:lineRule="auto"/>
    </w:pPr>
  </w:style>
  <w:style w:type="character" w:customStyle="1" w:styleId="En-tteCar">
    <w:name w:val="En-tête Car"/>
    <w:basedOn w:val="Policepardfaut"/>
    <w:link w:val="En-tte"/>
    <w:uiPriority w:val="99"/>
    <w:rsid w:val="00394E84"/>
  </w:style>
  <w:style w:type="paragraph" w:styleId="Pieddepage">
    <w:name w:val="footer"/>
    <w:basedOn w:val="Normal"/>
    <w:link w:val="PieddepageCar"/>
    <w:uiPriority w:val="99"/>
    <w:unhideWhenUsed/>
    <w:rsid w:val="00394E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4E84"/>
  </w:style>
  <w:style w:type="paragraph" w:styleId="Bibliographie">
    <w:name w:val="Bibliography"/>
    <w:basedOn w:val="Normal"/>
    <w:next w:val="Normal"/>
    <w:uiPriority w:val="37"/>
    <w:unhideWhenUsed/>
    <w:rsid w:val="00DA2452"/>
    <w:pPr>
      <w:tabs>
        <w:tab w:val="left" w:pos="384"/>
      </w:tabs>
      <w:spacing w:after="240" w:line="240" w:lineRule="auto"/>
      <w:ind w:left="384" w:hanging="384"/>
    </w:pPr>
  </w:style>
  <w:style w:type="character" w:styleId="Lienhypertexte">
    <w:name w:val="Hyperlink"/>
    <w:basedOn w:val="Policepardfaut"/>
    <w:uiPriority w:val="99"/>
    <w:unhideWhenUsed/>
    <w:qFormat/>
    <w:rsid w:val="00F42AF1"/>
    <w:rPr>
      <w:color w:val="0000FF"/>
      <w:u w:val="single"/>
    </w:rPr>
  </w:style>
  <w:style w:type="table" w:customStyle="1" w:styleId="Grilledutableau1">
    <w:name w:val="Grille du tableau1"/>
    <w:basedOn w:val="TableauNormal"/>
    <w:next w:val="Grilledutableau"/>
    <w:uiPriority w:val="39"/>
    <w:rsid w:val="0018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15E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15E30"/>
    <w:rPr>
      <w:i/>
      <w:iCs/>
    </w:rPr>
  </w:style>
  <w:style w:type="character" w:customStyle="1" w:styleId="Titre3Car">
    <w:name w:val="Titre 3 Car"/>
    <w:basedOn w:val="Policepardfaut"/>
    <w:link w:val="Titre3"/>
    <w:uiPriority w:val="9"/>
    <w:rsid w:val="00566508"/>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566508"/>
    <w:rPr>
      <w:b/>
      <w:bCs/>
    </w:rPr>
  </w:style>
  <w:style w:type="paragraph" w:styleId="PrformatHTML">
    <w:name w:val="HTML Preformatted"/>
    <w:basedOn w:val="Normal"/>
    <w:link w:val="PrformatHTMLCar"/>
    <w:uiPriority w:val="99"/>
    <w:unhideWhenUsed/>
    <w:rsid w:val="00884C52"/>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884C5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9821">
      <w:bodyDiv w:val="1"/>
      <w:marLeft w:val="0"/>
      <w:marRight w:val="0"/>
      <w:marTop w:val="0"/>
      <w:marBottom w:val="0"/>
      <w:divBdr>
        <w:top w:val="none" w:sz="0" w:space="0" w:color="auto"/>
        <w:left w:val="none" w:sz="0" w:space="0" w:color="auto"/>
        <w:bottom w:val="none" w:sz="0" w:space="0" w:color="auto"/>
        <w:right w:val="none" w:sz="0" w:space="0" w:color="auto"/>
      </w:divBdr>
    </w:div>
    <w:div w:id="484325223">
      <w:bodyDiv w:val="1"/>
      <w:marLeft w:val="0"/>
      <w:marRight w:val="0"/>
      <w:marTop w:val="0"/>
      <w:marBottom w:val="0"/>
      <w:divBdr>
        <w:top w:val="none" w:sz="0" w:space="0" w:color="auto"/>
        <w:left w:val="none" w:sz="0" w:space="0" w:color="auto"/>
        <w:bottom w:val="none" w:sz="0" w:space="0" w:color="auto"/>
        <w:right w:val="none" w:sz="0" w:space="0" w:color="auto"/>
      </w:divBdr>
    </w:div>
    <w:div w:id="552930564">
      <w:bodyDiv w:val="1"/>
      <w:marLeft w:val="0"/>
      <w:marRight w:val="0"/>
      <w:marTop w:val="0"/>
      <w:marBottom w:val="0"/>
      <w:divBdr>
        <w:top w:val="none" w:sz="0" w:space="0" w:color="auto"/>
        <w:left w:val="none" w:sz="0" w:space="0" w:color="auto"/>
        <w:bottom w:val="none" w:sz="0" w:space="0" w:color="auto"/>
        <w:right w:val="none" w:sz="0" w:space="0" w:color="auto"/>
      </w:divBdr>
      <w:divsChild>
        <w:div w:id="1705404283">
          <w:marLeft w:val="0"/>
          <w:marRight w:val="0"/>
          <w:marTop w:val="0"/>
          <w:marBottom w:val="0"/>
          <w:divBdr>
            <w:top w:val="none" w:sz="0" w:space="0" w:color="auto"/>
            <w:left w:val="none" w:sz="0" w:space="0" w:color="auto"/>
            <w:bottom w:val="none" w:sz="0" w:space="0" w:color="auto"/>
            <w:right w:val="none" w:sz="0" w:space="0" w:color="auto"/>
          </w:divBdr>
        </w:div>
        <w:div w:id="1993213710">
          <w:marLeft w:val="0"/>
          <w:marRight w:val="0"/>
          <w:marTop w:val="0"/>
          <w:marBottom w:val="0"/>
          <w:divBdr>
            <w:top w:val="none" w:sz="0" w:space="0" w:color="auto"/>
            <w:left w:val="none" w:sz="0" w:space="0" w:color="auto"/>
            <w:bottom w:val="none" w:sz="0" w:space="0" w:color="auto"/>
            <w:right w:val="none" w:sz="0" w:space="0" w:color="auto"/>
          </w:divBdr>
        </w:div>
      </w:divsChild>
    </w:div>
    <w:div w:id="566184002">
      <w:bodyDiv w:val="1"/>
      <w:marLeft w:val="0"/>
      <w:marRight w:val="0"/>
      <w:marTop w:val="0"/>
      <w:marBottom w:val="0"/>
      <w:divBdr>
        <w:top w:val="none" w:sz="0" w:space="0" w:color="auto"/>
        <w:left w:val="none" w:sz="0" w:space="0" w:color="auto"/>
        <w:bottom w:val="none" w:sz="0" w:space="0" w:color="auto"/>
        <w:right w:val="none" w:sz="0" w:space="0" w:color="auto"/>
      </w:divBdr>
    </w:div>
    <w:div w:id="573468962">
      <w:bodyDiv w:val="1"/>
      <w:marLeft w:val="0"/>
      <w:marRight w:val="0"/>
      <w:marTop w:val="0"/>
      <w:marBottom w:val="0"/>
      <w:divBdr>
        <w:top w:val="none" w:sz="0" w:space="0" w:color="auto"/>
        <w:left w:val="none" w:sz="0" w:space="0" w:color="auto"/>
        <w:bottom w:val="none" w:sz="0" w:space="0" w:color="auto"/>
        <w:right w:val="none" w:sz="0" w:space="0" w:color="auto"/>
      </w:divBdr>
    </w:div>
    <w:div w:id="646200675">
      <w:bodyDiv w:val="1"/>
      <w:marLeft w:val="0"/>
      <w:marRight w:val="0"/>
      <w:marTop w:val="0"/>
      <w:marBottom w:val="0"/>
      <w:divBdr>
        <w:top w:val="none" w:sz="0" w:space="0" w:color="auto"/>
        <w:left w:val="none" w:sz="0" w:space="0" w:color="auto"/>
        <w:bottom w:val="none" w:sz="0" w:space="0" w:color="auto"/>
        <w:right w:val="none" w:sz="0" w:space="0" w:color="auto"/>
      </w:divBdr>
    </w:div>
    <w:div w:id="813260546">
      <w:bodyDiv w:val="1"/>
      <w:marLeft w:val="0"/>
      <w:marRight w:val="0"/>
      <w:marTop w:val="0"/>
      <w:marBottom w:val="0"/>
      <w:divBdr>
        <w:top w:val="none" w:sz="0" w:space="0" w:color="auto"/>
        <w:left w:val="none" w:sz="0" w:space="0" w:color="auto"/>
        <w:bottom w:val="none" w:sz="0" w:space="0" w:color="auto"/>
        <w:right w:val="none" w:sz="0" w:space="0" w:color="auto"/>
      </w:divBdr>
    </w:div>
    <w:div w:id="956563637">
      <w:bodyDiv w:val="1"/>
      <w:marLeft w:val="0"/>
      <w:marRight w:val="0"/>
      <w:marTop w:val="0"/>
      <w:marBottom w:val="0"/>
      <w:divBdr>
        <w:top w:val="none" w:sz="0" w:space="0" w:color="auto"/>
        <w:left w:val="none" w:sz="0" w:space="0" w:color="auto"/>
        <w:bottom w:val="none" w:sz="0" w:space="0" w:color="auto"/>
        <w:right w:val="none" w:sz="0" w:space="0" w:color="auto"/>
      </w:divBdr>
    </w:div>
    <w:div w:id="1002274471">
      <w:bodyDiv w:val="1"/>
      <w:marLeft w:val="0"/>
      <w:marRight w:val="0"/>
      <w:marTop w:val="0"/>
      <w:marBottom w:val="0"/>
      <w:divBdr>
        <w:top w:val="none" w:sz="0" w:space="0" w:color="auto"/>
        <w:left w:val="none" w:sz="0" w:space="0" w:color="auto"/>
        <w:bottom w:val="none" w:sz="0" w:space="0" w:color="auto"/>
        <w:right w:val="none" w:sz="0" w:space="0" w:color="auto"/>
      </w:divBdr>
      <w:divsChild>
        <w:div w:id="1615214675">
          <w:marLeft w:val="0"/>
          <w:marRight w:val="0"/>
          <w:marTop w:val="0"/>
          <w:marBottom w:val="0"/>
          <w:divBdr>
            <w:top w:val="none" w:sz="0" w:space="0" w:color="auto"/>
            <w:left w:val="none" w:sz="0" w:space="0" w:color="auto"/>
            <w:bottom w:val="none" w:sz="0" w:space="0" w:color="auto"/>
            <w:right w:val="none" w:sz="0" w:space="0" w:color="auto"/>
          </w:divBdr>
        </w:div>
        <w:div w:id="1470904702">
          <w:marLeft w:val="0"/>
          <w:marRight w:val="0"/>
          <w:marTop w:val="0"/>
          <w:marBottom w:val="0"/>
          <w:divBdr>
            <w:top w:val="none" w:sz="0" w:space="0" w:color="auto"/>
            <w:left w:val="none" w:sz="0" w:space="0" w:color="auto"/>
            <w:bottom w:val="none" w:sz="0" w:space="0" w:color="auto"/>
            <w:right w:val="none" w:sz="0" w:space="0" w:color="auto"/>
          </w:divBdr>
        </w:div>
      </w:divsChild>
    </w:div>
    <w:div w:id="1333023219">
      <w:bodyDiv w:val="1"/>
      <w:marLeft w:val="0"/>
      <w:marRight w:val="0"/>
      <w:marTop w:val="0"/>
      <w:marBottom w:val="0"/>
      <w:divBdr>
        <w:top w:val="none" w:sz="0" w:space="0" w:color="auto"/>
        <w:left w:val="none" w:sz="0" w:space="0" w:color="auto"/>
        <w:bottom w:val="none" w:sz="0" w:space="0" w:color="auto"/>
        <w:right w:val="none" w:sz="0" w:space="0" w:color="auto"/>
      </w:divBdr>
    </w:div>
    <w:div w:id="1755317232">
      <w:bodyDiv w:val="1"/>
      <w:marLeft w:val="0"/>
      <w:marRight w:val="0"/>
      <w:marTop w:val="0"/>
      <w:marBottom w:val="0"/>
      <w:divBdr>
        <w:top w:val="none" w:sz="0" w:space="0" w:color="auto"/>
        <w:left w:val="none" w:sz="0" w:space="0" w:color="auto"/>
        <w:bottom w:val="none" w:sz="0" w:space="0" w:color="auto"/>
        <w:right w:val="none" w:sz="0" w:space="0" w:color="auto"/>
      </w:divBdr>
    </w:div>
    <w:div w:id="18193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d.who.int/browse10/2008/en" TargetMode="External"/><Relationship Id="rId13" Type="http://schemas.openxmlformats.org/officeDocument/2006/relationships/hyperlink" Target="https://icd.who.int/browse10/2008/en" TargetMode="External"/><Relationship Id="rId18" Type="http://schemas.openxmlformats.org/officeDocument/2006/relationships/hyperlink" Target="https://icd.who.int/browse10/2008/en" TargetMode="External"/><Relationship Id="rId26" Type="http://schemas.openxmlformats.org/officeDocument/2006/relationships/hyperlink" Target="http://www.insp.rns.tn/index.php?option=com_content&amp;view=section&amp;id=26&amp;Itemid=224"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icd.who.int/browse10/2008/en" TargetMode="External"/><Relationship Id="rId17" Type="http://schemas.openxmlformats.org/officeDocument/2006/relationships/hyperlink" Target="https://icd.who.int/browse10/2008/en" TargetMode="External"/><Relationship Id="rId25" Type="http://schemas.openxmlformats.org/officeDocument/2006/relationships/hyperlink" Target="http://www.santetunisie.rns.tn/images/statistiques-deces2021.pdf" TargetMode="External"/><Relationship Id="rId2" Type="http://schemas.openxmlformats.org/officeDocument/2006/relationships/numbering" Target="numbering.xml"/><Relationship Id="rId16" Type="http://schemas.openxmlformats.org/officeDocument/2006/relationships/hyperlink" Target="https://icd.who.int/browse10/2008/en"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d.who.int/browse10/2008/en" TargetMode="External"/><Relationship Id="rId24" Type="http://schemas.openxmlformats.org/officeDocument/2006/relationships/hyperlink" Target="https://www.who.int/news-room/fact-sheets/detail/cancer" TargetMode="External"/><Relationship Id="rId5" Type="http://schemas.openxmlformats.org/officeDocument/2006/relationships/webSettings" Target="webSettings.xml"/><Relationship Id="rId15" Type="http://schemas.openxmlformats.org/officeDocument/2006/relationships/hyperlink" Target="https://icd.who.int/browse10/2008/en" TargetMode="External"/><Relationship Id="rId23" Type="http://schemas.openxmlformats.org/officeDocument/2006/relationships/hyperlink" Target="https://pubmed.ncbi.nlm.nih.gov/?term=Njima+M&amp;cauthor_id=34168871" TargetMode="External"/><Relationship Id="rId28" Type="http://schemas.openxmlformats.org/officeDocument/2006/relationships/hyperlink" Target="https://www.ins.tn/statistiques/111" TargetMode="External"/><Relationship Id="rId10" Type="http://schemas.openxmlformats.org/officeDocument/2006/relationships/hyperlink" Target="https://icd.who.int/browse10/2008/en" TargetMode="External"/><Relationship Id="rId19"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https://icd.who.int/browse10/2008/en" TargetMode="External"/><Relationship Id="rId14" Type="http://schemas.openxmlformats.org/officeDocument/2006/relationships/hyperlink" Target="https://icd.who.int/browse10/2008/en" TargetMode="External"/><Relationship Id="rId22" Type="http://schemas.openxmlformats.org/officeDocument/2006/relationships/hyperlink" Target="https://pubmed.ncbi.nlm.nih.gov/?term=Njima+M&amp;cauthor_id=34168871" TargetMode="External"/><Relationship Id="rId27" Type="http://schemas.openxmlformats.org/officeDocument/2006/relationships/hyperlink" Target="https://icd.who.int/browse10/2008/en"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D5C3A-750E-4CA4-BD80-2A40AD1B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3080</Words>
  <Characters>17561</Characters>
  <Application>Microsoft Office Word</Application>
  <DocSecurity>0</DocSecurity>
  <Lines>146</Lines>
  <Paragraphs>41</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        Basic Information </vt:lpstr>
      <vt:lpstr>        Introduction / Background</vt:lpstr>
      <vt:lpstr>        Objectives</vt:lpstr>
      <vt:lpstr>        Methods</vt:lpstr>
      <vt:lpstr>        Ethics</vt:lpstr>
      <vt:lpstr>        Expected outcomes / Dissemination</vt:lpstr>
      <vt:lpstr>        Limitations</vt:lpstr>
      <vt:lpstr>        Authors’ contributions / Competing interests / Data availability</vt:lpstr>
    </vt:vector>
  </TitlesOfParts>
  <Company/>
  <LinksUpToDate>false</LinksUpToDate>
  <CharactersWithSpaces>20600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Compte Microsoft</cp:lastModifiedBy>
  <cp:revision>8</cp:revision>
  <dcterms:created xsi:type="dcterms:W3CDTF">2025-09-11T10:17:00Z</dcterms:created>
  <dcterms:modified xsi:type="dcterms:W3CDTF">2025-09-11T10:39:00Z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id="ZTU2ZEc6"/&gt;&lt;style id="http://www.zotero.org/styles/vancouver-brackets" locale="fr-FR"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