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6E1D9" w14:textId="77777777" w:rsidR="000110D7" w:rsidRPr="001D208B" w:rsidRDefault="000110D7" w:rsidP="000110D7">
      <w:pPr>
        <w:spacing w:line="480" w:lineRule="auto"/>
        <w:rPr>
          <w:rFonts w:ascii="Times New Roman" w:hAnsi="Times New Roman" w:cs="Times New Roman"/>
        </w:rPr>
      </w:pPr>
      <w:r w:rsidRPr="001D208B">
        <w:rPr>
          <w:rStyle w:val="Strong"/>
          <w:rFonts w:ascii="Times New Roman" w:hAnsi="Times New Roman" w:cs="Times New Roman"/>
        </w:rPr>
        <w:t>Dual Culture Antagonism Assay</w:t>
      </w:r>
      <w:r w:rsidRPr="001D208B">
        <w:rPr>
          <w:rFonts w:ascii="Times New Roman" w:hAnsi="Times New Roman" w:cs="Times New Roman"/>
        </w:rPr>
        <w:t xml:space="preserve"> </w:t>
      </w:r>
    </w:p>
    <w:p w14:paraId="5BD300FF" w14:textId="77777777" w:rsidR="000110D7" w:rsidRPr="001D208B" w:rsidRDefault="000110D7" w:rsidP="000110D7">
      <w:pPr>
        <w:spacing w:line="480" w:lineRule="auto"/>
        <w:rPr>
          <w:rFonts w:ascii="Times New Roman" w:hAnsi="Times New Roman" w:cs="Times New Roman"/>
        </w:rPr>
      </w:pPr>
      <w:r w:rsidRPr="001D208B">
        <w:rPr>
          <w:rFonts w:ascii="Times New Roman" w:hAnsi="Times New Roman" w:cs="Times New Roman"/>
        </w:rPr>
        <w:t>The antagonistic potential of ‘</w:t>
      </w:r>
      <w:r w:rsidRPr="001D208B">
        <w:rPr>
          <w:rFonts w:ascii="Times New Roman" w:hAnsi="Times New Roman" w:cs="Times New Roman"/>
          <w:i/>
          <w:iCs/>
        </w:rPr>
        <w:t>Candidatus</w:t>
      </w:r>
      <w:r w:rsidRPr="001D208B">
        <w:rPr>
          <w:rFonts w:ascii="Times New Roman" w:hAnsi="Times New Roman" w:cs="Times New Roman"/>
        </w:rPr>
        <w:t xml:space="preserve"> P. </w:t>
      </w:r>
      <w:proofErr w:type="spellStart"/>
      <w:r w:rsidRPr="001D208B">
        <w:rPr>
          <w:rFonts w:ascii="Times New Roman" w:hAnsi="Times New Roman" w:cs="Times New Roman"/>
        </w:rPr>
        <w:t>auctus</w:t>
      </w:r>
      <w:proofErr w:type="spellEnd"/>
      <w:r w:rsidRPr="001D208B">
        <w:rPr>
          <w:rFonts w:ascii="Times New Roman" w:hAnsi="Times New Roman" w:cs="Times New Roman"/>
        </w:rPr>
        <w:t xml:space="preserve">’ JDE115 against </w:t>
      </w:r>
      <w:r w:rsidRPr="001D208B">
        <w:rPr>
          <w:rStyle w:val="Emphasis"/>
          <w:rFonts w:ascii="Times New Roman" w:hAnsi="Times New Roman" w:cs="Times New Roman"/>
        </w:rPr>
        <w:t xml:space="preserve">A. </w:t>
      </w:r>
      <w:proofErr w:type="spellStart"/>
      <w:r w:rsidRPr="001D208B">
        <w:rPr>
          <w:rStyle w:val="Emphasis"/>
          <w:rFonts w:ascii="Times New Roman" w:hAnsi="Times New Roman" w:cs="Times New Roman"/>
        </w:rPr>
        <w:t>rolfsii</w:t>
      </w:r>
      <w:proofErr w:type="spellEnd"/>
      <w:r w:rsidRPr="001D208B">
        <w:rPr>
          <w:rFonts w:ascii="Times New Roman" w:hAnsi="Times New Roman" w:cs="Times New Roman"/>
        </w:rPr>
        <w:t xml:space="preserve"> was evaluated using a dual culture assay on potato dextrose agar (PDA). PDA was prepared by dissolving 24 g of potato dextrose broth and 15 g of agar in 1 L of deionized water, sterilization at 121°C for 15 minutes. The media was then poured into sterile petri dishes and allowed to solidify. </w:t>
      </w:r>
    </w:p>
    <w:p w14:paraId="48DA1532" w14:textId="77777777" w:rsidR="000110D7" w:rsidRPr="001D208B" w:rsidRDefault="000110D7" w:rsidP="000110D7">
      <w:pPr>
        <w:pStyle w:val="NormalWeb"/>
        <w:spacing w:line="480" w:lineRule="auto"/>
      </w:pPr>
      <w:r w:rsidRPr="001D208B">
        <w:t xml:space="preserve">Seven parameters were tested: (a) JDE115 placed directly on </w:t>
      </w:r>
      <w:r w:rsidRPr="001D208B">
        <w:rPr>
          <w:rStyle w:val="Emphasis"/>
        </w:rPr>
        <w:t xml:space="preserve">A. </w:t>
      </w:r>
      <w:proofErr w:type="spellStart"/>
      <w:r w:rsidRPr="001D208B">
        <w:rPr>
          <w:rStyle w:val="Emphasis"/>
        </w:rPr>
        <w:t>rolfsii</w:t>
      </w:r>
      <w:proofErr w:type="spellEnd"/>
      <w:r w:rsidRPr="001D208B">
        <w:t xml:space="preserve"> sclerotia, (b) JDE115 alone, (c) JDE115 and sclerotia placed distantly, (d) sclerotia alone, (e) JDE115 and fungal hyphal plug placed distantly, (f) hyphal plug alone, and (g) JDE115 placed directly on hyphae. Fresh cultures of JDE115 (OD600 ≈ 0.6) and </w:t>
      </w:r>
      <w:r w:rsidRPr="001D208B">
        <w:rPr>
          <w:rStyle w:val="Emphasis"/>
        </w:rPr>
        <w:t xml:space="preserve">A. </w:t>
      </w:r>
      <w:proofErr w:type="spellStart"/>
      <w:r w:rsidRPr="001D208B">
        <w:rPr>
          <w:rStyle w:val="Emphasis"/>
        </w:rPr>
        <w:t>rolfsii</w:t>
      </w:r>
      <w:proofErr w:type="spellEnd"/>
      <w:r w:rsidRPr="001D208B">
        <w:t xml:space="preserve"> (sclerotia or 6–8 mm hyphal plugs) were used in all treatments (Fig. 1). Plates were incubated at 28°C for 7 days. Each treatment included five biological replicates and was repeated independently five times. Fungal growth inhibition was assessed visually and documented photographically to evaluate antagonistic effects under both contact and non-contact conditions </w:t>
      </w:r>
      <w:r w:rsidRPr="001D208B">
        <w:fldChar w:fldCharType="begin"/>
      </w:r>
      <w:r w:rsidRPr="001D208B">
        <w:instrText xml:space="preserve"> ADDIN ZOTERO_ITEM CSL_CITATION {"citationID":"Kgd6cOys","properties":{"formattedCitation":"(Khan et al. 2018a)","plainCitation":"(Khan et al. 2018a)","noteIndex":0},"citationItems":[{"id":20778,"uris":["http://zotero.org/users/15185406/items/VXI4FBTE"],"itemData":{"id":20778,"type":"article-journal","abstract":"Fusarium is a complex genus of ascomycete fungi that consists of plant pathogens of agricultural relevance. Controlling Fusarium infection in crops that leads to substantial yield losses is challenging. These economic losses along with environmental and human health concerns over the usage of chemicals in attaining disease control are shifting focus toward the use of biocontrol agents for effective control of phytopathogenic Fusarium spp. In the present study, an analysis of the plant-growth promoting (PGP) and biocontrol attributes of four bacilli (Bacillus simplex 30N-5, B. simplex 11, B. simplex 237, and B. subtilis 30VD-1) has been conducted. The production of cellulase, xylanase, pectinase, and chitinase in functional assays was studied, followed by in silico gene analysis of the PGP-related and biocontrol-associated genes. Of all the bacilli included in this study, B. subtilis 30VD-1 (30VD-1) demonstrated the most effective antagonism against Fusarium spp. under in vitro conditions. Additionally, 100 µg/ml of the crude 1-butanol extract of 30VD-1’s cell-free culture ﬁltrate caused about 40% inhibition in radial growth of Fusarium spp. Pea seed bacterization with 30VD-1 led to considerable reduction in wilt severity in plants with about 35% increase in dry plant biomass over uninoculated plants growing in Fusarium-infested soil. Phase contrast microscopy demonstrated distortions and abnormal swellings in F. oxysporum hyphae on coculturing with 30VD-1. The results suggest a multivariate mode of antagonism of 30VD-1 against phytopathogenic Fusarium spp., by producing chitinase, volatiles, and other antifungal molecules, the characterization of which is underway.","container-title":"Frontiers in Microbiology","DOI":"10.3389/fmicb.2018.02363","ISSN":"1664-302X","journalAbbreviation":"Front. Microbiol.","language":"en","page":"2363","source":"DOI.org (Crossref)","title":"Antifungal Activity of Bacillus Species Against Fusarium and Analysis of the Potential Mechanisms Used in Biocontrol","URL":"https://www.frontiersin.org/article/10.3389/fmicb.2018.02363/full","volume":"9","author":[{"family":"Khan","given":"Noor"},{"family":"Martínez-Hidalgo","given":"Pilar"},{"family":"Ice","given":"Tyler A."},{"family":"Maymon","given":"Maskit"},{"family":"Humm","given":"Ethan A."},{"family":"Nejat","given":"Najmeh"},{"family":"Sanders","given":"Erin R."},{"family":"Kaplan","given":"Drora"},{"family":"Hirsch","given":"Ann M."}],"accessed":{"date-parts":[["2025",4,15]]},"issued":{"date-parts":[["2018",10,2]]}}}],"schema":"https://github.com/citation-style-language/schema/raw/master/csl-citation.json"} </w:instrText>
      </w:r>
      <w:r w:rsidRPr="001D208B">
        <w:fldChar w:fldCharType="separate"/>
      </w:r>
      <w:r w:rsidRPr="001D208B">
        <w:t>(Khan et al. 2018)</w:t>
      </w:r>
      <w:r w:rsidRPr="001D208B">
        <w:fldChar w:fldCharType="end"/>
      </w:r>
      <w:r w:rsidRPr="001D208B">
        <w:t xml:space="preserve">. In a complimentary dual plate assay, the radial growth of </w:t>
      </w:r>
      <w:r w:rsidRPr="001D208B">
        <w:rPr>
          <w:rFonts w:eastAsiaTheme="majorEastAsia"/>
          <w:i/>
          <w:iCs/>
        </w:rPr>
        <w:t xml:space="preserve">A. </w:t>
      </w:r>
      <w:proofErr w:type="spellStart"/>
      <w:r w:rsidRPr="001D208B">
        <w:rPr>
          <w:rFonts w:eastAsiaTheme="majorEastAsia"/>
          <w:i/>
          <w:iCs/>
        </w:rPr>
        <w:t>rolfsii</w:t>
      </w:r>
      <w:proofErr w:type="spellEnd"/>
      <w:r w:rsidRPr="001D208B">
        <w:t xml:space="preserve"> was measured in centimeters after 7 days of incubation at 28°C. The experiment consisted of two treatments:  (1) </w:t>
      </w:r>
      <w:r w:rsidRPr="001D208B">
        <w:rPr>
          <w:i/>
          <w:iCs/>
        </w:rPr>
        <w:t xml:space="preserve">A. </w:t>
      </w:r>
      <w:proofErr w:type="spellStart"/>
      <w:r w:rsidRPr="001D208B">
        <w:rPr>
          <w:i/>
          <w:iCs/>
        </w:rPr>
        <w:t>rolfsii</w:t>
      </w:r>
      <w:proofErr w:type="spellEnd"/>
      <w:r w:rsidRPr="001D208B">
        <w:t xml:space="preserve"> control, where sterile water was applied instead of JDE115, (2) JDE115 treatment, in which the bacterium was streaked 4 cm away from the fungal plug </w:t>
      </w:r>
      <w:r w:rsidRPr="001D208B">
        <w:fldChar w:fldCharType="begin"/>
      </w:r>
      <w:r w:rsidRPr="001D208B">
        <w:instrText xml:space="preserve"> ADDIN ZOTERO_ITEM CSL_CITATION {"citationID":"ct1LDMQQ","properties":{"formattedCitation":"(Ali et al. 2020)","plainCitation":"(Ali et al. 2020)","noteIndex":0},"citationItems":[{"id":20786,"uris":["http://zotero.org/users/15185406/items/UN6YNRED"],"itemData":{"id":20786,"type":"article-journal","abstract":"This study describes the biocontrol potential of rhizobacteria against a range of fungal phytopathogens. Out of 227 bacteria isolated from the rhizosphere of maize, rice, wheat, potato, sunﬂower and soybean crops cultivated in diﬀerent agro-ecological regions of Pakistan, 48 exhibited &gt; 60 % antifungal activity against Fusarium oxysporum, Fusarium moniliforme, Rhizoctonia solani, Colletotrichum gloeosporioides, Colletotrichum falcatum, Aspergillus niger, and Aspergillus ﬂavus. The rhizobacteria inhibiting &gt; 65 % pathogen growth were selected for detailed molecular and in planta studies most of which were identiﬁed as Pseudomonas and Bacillus species based on 16S rRNA gene sequence analysis. Antifungal metabolites produced by these rhizobacteria analyzed through LCMS were identiﬁed as antibiotics (iturin, surfactins, fengycin, DAPG, Phenazine, etc.), cell wall degrading enzymes (protease, chitinase, and cellulase), plant growth promotion enzymes and hormones (indole-3-acetic acid, ACC-deaminase, phosphates, nitrogen ﬁxation), N-acyl-homoserine lactones and siderophores. The growth room experiment validated the potential of these bacteria as biofertilizer and biopesticide agents. Of all, P. aeruginosa strain FB2 and B. subtilis strain RMB5 showed signiﬁcantly higher potential as antagonistic plantbeneﬁcial bacteria eﬀective against a range of fungal phytopathogens. Both these bacteria can be used to develop a dual-purpose bacterial inoculum as biopesticide and biofertilizer. Rest of the antagonistic PGPR may be exploited for disease control in less-infested soils.","container-title":"Microbiological Research","DOI":"10.1016/j.micres.2019.126389","ISSN":"09445013","journalAbbreviation":"Microbiological Research","language":"en","page":"126389","source":"DOI.org (Crossref)","title":"Functional characterization of potential PGPR exhibiting broad-spectrum antifungal activity","URL":"https://linkinghub.elsevier.com/retrieve/pii/S0944501319308328","volume":"232","author":[{"family":"Ali","given":"Saira"},{"family":"Hameed","given":"Sohail"},{"family":"Shahid","given":"Muhammad"},{"family":"Iqbal","given":"Mazhar"},{"family":"Lazarovits","given":"George"},{"family":"Imran","given":"Asma"}],"accessed":{"date-parts":[["2025",4,16]]},"issued":{"date-parts":[["2020",2]]}}}],"schema":"https://github.com/citation-style-language/schema/raw/master/csl-citation.json"} </w:instrText>
      </w:r>
      <w:r w:rsidRPr="001D208B">
        <w:fldChar w:fldCharType="separate"/>
      </w:r>
      <w:r w:rsidRPr="001D208B">
        <w:t>(Ali et al. 2020)</w:t>
      </w:r>
      <w:r w:rsidRPr="001D208B">
        <w:fldChar w:fldCharType="end"/>
      </w:r>
      <w:r w:rsidRPr="001D208B">
        <w:t xml:space="preserve">. Each treatment included 10 biological replicates, and the experiment was independently repeated three times under identical conditions. Fungal inhibition was quantified by calculating the percentage suppression of radial growth of using the following formula </w:t>
      </w:r>
      <w:r w:rsidRPr="001D208B">
        <w:fldChar w:fldCharType="begin"/>
      </w:r>
      <w:r w:rsidRPr="001D208B">
        <w:instrText xml:space="preserve"> ADDIN ZOTERO_ITEM CSL_CITATION {"citationID":"niazVKyv","properties":{"formattedCitation":"(Montealegre et al. 2003)","plainCitation":"(Montealegre et al. 2003)","noteIndex":0},"citationItems":[{"id":20788,"uris":["http://zotero.org/users/15185406/items/HZWK9BI6"],"itemData":{"id":20788,"type":"article-journal","container-title":"Electronic Journal of Biotechnology","DOI":"10.2225/vol6-issue2-fulltext-8","ISSN":"0717-3458, 0717-3458","issue":"2","journalAbbreviation":"Electron. J. Biotechnol.","language":"en","license":"https://www.elsevier.com/tdm/userlicense/1.0/","page":"0-0","source":"DOI.org (Crossref)","title":"Selection of bioantagonistic bacteria to be used in biological control of Rhizoctonia solani in tomato","URL":"http://www.ejbiotechnology.info/index.php/ejbiotechnology/article/view/294","volume":"6","author":[{"family":"Montealegre","given":"Jaime R."},{"family":"Reyes","given":"Rodrigo"},{"family":"Pérez","given":"Luz María"},{"family":"Herrera","given":"Rodrigo"},{"family":"Silva","given":"Polyana"},{"family":"Besoain","given":"Ximena A."}],"accessed":{"date-parts":[["2025",4,16]]},"issued":{"date-parts":[["2003",8,15]]}}}],"schema":"https://github.com/citation-style-language/schema/raw/master/csl-citation.json"} </w:instrText>
      </w:r>
      <w:r w:rsidRPr="001D208B">
        <w:fldChar w:fldCharType="separate"/>
      </w:r>
      <w:r w:rsidRPr="001D208B">
        <w:t>(Montealegre et al. 2003)</w:t>
      </w:r>
      <w:r w:rsidRPr="001D208B">
        <w:fldChar w:fldCharType="end"/>
      </w:r>
      <w:r w:rsidRPr="001D208B">
        <w:t>:</w:t>
      </w:r>
    </w:p>
    <w:p w14:paraId="716C01D8" w14:textId="77777777" w:rsidR="000110D7" w:rsidRPr="001D208B" w:rsidRDefault="000110D7" w:rsidP="000110D7">
      <w:pPr>
        <w:pStyle w:val="NormalWeb"/>
        <w:spacing w:line="480" w:lineRule="auto"/>
      </w:pPr>
      <w:r w:rsidRPr="001D208B">
        <w:rPr>
          <w:rStyle w:val="mord"/>
          <w:rFonts w:eastAsiaTheme="majorEastAsia"/>
        </w:rPr>
        <w:t>Suppression (%)</w:t>
      </w:r>
      <w:r w:rsidRPr="001D208B">
        <w:rPr>
          <w:rStyle w:val="mord"/>
        </w:rPr>
        <w:t xml:space="preserve"> </w:t>
      </w:r>
      <w:r w:rsidRPr="001D208B">
        <w:rPr>
          <w:rStyle w:val="mrel"/>
          <w:rFonts w:eastAsiaTheme="majorEastAsia"/>
        </w:rPr>
        <w:t>=</w:t>
      </w:r>
      <w:r w:rsidRPr="001D208B">
        <w:rPr>
          <w:rStyle w:val="mrel"/>
        </w:rPr>
        <w:t xml:space="preserve"> </w:t>
      </w:r>
      <w:r w:rsidRPr="001D208B">
        <w:rPr>
          <w:rStyle w:val="delimsizing"/>
          <w:rFonts w:eastAsiaTheme="majorEastAsia"/>
        </w:rPr>
        <w:t>(</w:t>
      </w:r>
      <w:r w:rsidRPr="001D208B">
        <w:rPr>
          <w:rStyle w:val="mord"/>
          <w:rFonts w:eastAsiaTheme="majorEastAsia"/>
        </w:rPr>
        <w:t>1</w:t>
      </w:r>
      <w:r w:rsidRPr="001D208B">
        <w:rPr>
          <w:rStyle w:val="mord"/>
        </w:rPr>
        <w:t xml:space="preserve"> </w:t>
      </w:r>
      <w:r w:rsidRPr="001D208B">
        <w:rPr>
          <w:rStyle w:val="mbin"/>
        </w:rPr>
        <w:t xml:space="preserve">− </w:t>
      </w:r>
      <w:r w:rsidRPr="001D208B">
        <w:rPr>
          <w:rStyle w:val="mord"/>
          <w:rFonts w:eastAsiaTheme="majorEastAsia"/>
        </w:rPr>
        <w:t>Mean growth in treatment</w:t>
      </w:r>
      <w:r w:rsidRPr="001D208B">
        <w:rPr>
          <w:rStyle w:val="mord"/>
        </w:rPr>
        <w:t xml:space="preserve"> / </w:t>
      </w:r>
      <w:r w:rsidRPr="001D208B">
        <w:rPr>
          <w:rStyle w:val="mord"/>
          <w:rFonts w:eastAsiaTheme="majorEastAsia"/>
        </w:rPr>
        <w:t>Mean growth in control</w:t>
      </w:r>
      <w:r w:rsidRPr="001D208B">
        <w:rPr>
          <w:rStyle w:val="vlist-s"/>
        </w:rPr>
        <w:t>​</w:t>
      </w:r>
      <w:r w:rsidRPr="001D208B">
        <w:rPr>
          <w:rStyle w:val="delimsizing"/>
          <w:rFonts w:eastAsiaTheme="majorEastAsia"/>
        </w:rPr>
        <w:t>)</w:t>
      </w:r>
      <w:r w:rsidRPr="001D208B">
        <w:rPr>
          <w:rStyle w:val="delimsizing"/>
        </w:rPr>
        <w:t xml:space="preserve"> </w:t>
      </w:r>
      <w:r w:rsidRPr="001D208B">
        <w:rPr>
          <w:rStyle w:val="mbin"/>
        </w:rPr>
        <w:t xml:space="preserve">× </w:t>
      </w:r>
      <w:r w:rsidRPr="001D208B">
        <w:rPr>
          <w:rStyle w:val="mord"/>
          <w:rFonts w:eastAsiaTheme="majorEastAsia"/>
        </w:rPr>
        <w:t>100</w:t>
      </w:r>
    </w:p>
    <w:p w14:paraId="31437DD2" w14:textId="77777777" w:rsidR="006F04E4" w:rsidRPr="001D208B" w:rsidRDefault="006F04E4" w:rsidP="006F04E4">
      <w:pPr>
        <w:spacing w:line="480" w:lineRule="auto"/>
        <w:rPr>
          <w:rFonts w:ascii="Times New Roman" w:hAnsi="Times New Roman" w:cs="Times New Roman"/>
          <w:b/>
          <w:bCs/>
        </w:rPr>
      </w:pPr>
      <w:r w:rsidRPr="001D208B">
        <w:rPr>
          <w:rFonts w:ascii="Times New Roman" w:hAnsi="Times New Roman" w:cs="Times New Roman"/>
          <w:b/>
          <w:bCs/>
          <w:i/>
          <w:iCs/>
        </w:rPr>
        <w:t>In Vitro</w:t>
      </w:r>
      <w:r w:rsidRPr="001D208B">
        <w:rPr>
          <w:rFonts w:ascii="Times New Roman" w:hAnsi="Times New Roman" w:cs="Times New Roman"/>
          <w:b/>
          <w:bCs/>
        </w:rPr>
        <w:t xml:space="preserve"> Antagonism of JDE115 against </w:t>
      </w:r>
      <w:proofErr w:type="spellStart"/>
      <w:r w:rsidRPr="001D208B">
        <w:rPr>
          <w:rFonts w:ascii="Times New Roman" w:hAnsi="Times New Roman" w:cs="Times New Roman"/>
          <w:b/>
          <w:bCs/>
          <w:i/>
          <w:iCs/>
        </w:rPr>
        <w:t>Agroathelia</w:t>
      </w:r>
      <w:proofErr w:type="spellEnd"/>
      <w:r w:rsidRPr="001D208B">
        <w:rPr>
          <w:rFonts w:ascii="Times New Roman" w:hAnsi="Times New Roman" w:cs="Times New Roman"/>
          <w:b/>
          <w:bCs/>
          <w:i/>
          <w:iCs/>
        </w:rPr>
        <w:t xml:space="preserve"> </w:t>
      </w:r>
      <w:proofErr w:type="spellStart"/>
      <w:r w:rsidRPr="001D208B">
        <w:rPr>
          <w:rFonts w:ascii="Times New Roman" w:hAnsi="Times New Roman" w:cs="Times New Roman"/>
          <w:b/>
          <w:bCs/>
          <w:i/>
          <w:iCs/>
        </w:rPr>
        <w:t>rolfsii</w:t>
      </w:r>
      <w:proofErr w:type="spellEnd"/>
    </w:p>
    <w:p w14:paraId="053EBD28" w14:textId="77777777" w:rsidR="006F04E4" w:rsidRPr="001D208B" w:rsidRDefault="006F04E4" w:rsidP="006F04E4">
      <w:pPr>
        <w:spacing w:line="480" w:lineRule="auto"/>
        <w:rPr>
          <w:rFonts w:ascii="Times New Roman" w:hAnsi="Times New Roman" w:cs="Times New Roman"/>
        </w:rPr>
      </w:pPr>
      <w:r w:rsidRPr="001D208B">
        <w:rPr>
          <w:rFonts w:ascii="Times New Roman" w:hAnsi="Times New Roman" w:cs="Times New Roman"/>
          <w:noProof/>
        </w:rPr>
        <w:lastRenderedPageBreak/>
        <w:drawing>
          <wp:inline distT="0" distB="0" distL="0" distR="0" wp14:anchorId="284901D5" wp14:editId="13D820B9">
            <wp:extent cx="5943600" cy="1163320"/>
            <wp:effectExtent l="0" t="0" r="0" b="5080"/>
            <wp:docPr id="1041383475" name="Picture 1" descr="A group of round white plates with white circles i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383475" name="Picture 1" descr="A group of round white plates with white circles in them&#10;&#10;AI-generated content may be incorrect."/>
                    <pic:cNvPicPr/>
                  </pic:nvPicPr>
                  <pic:blipFill>
                    <a:blip r:embed="rId4"/>
                    <a:stretch>
                      <a:fillRect/>
                    </a:stretch>
                  </pic:blipFill>
                  <pic:spPr>
                    <a:xfrm>
                      <a:off x="0" y="0"/>
                      <a:ext cx="5943600" cy="1163320"/>
                    </a:xfrm>
                    <a:prstGeom prst="rect">
                      <a:avLst/>
                    </a:prstGeom>
                  </pic:spPr>
                </pic:pic>
              </a:graphicData>
            </a:graphic>
          </wp:inline>
        </w:drawing>
      </w:r>
    </w:p>
    <w:p w14:paraId="52EB4F2B" w14:textId="77777777" w:rsidR="006F04E4" w:rsidRPr="001D208B" w:rsidRDefault="006F04E4" w:rsidP="006F04E4">
      <w:pPr>
        <w:spacing w:line="480" w:lineRule="auto"/>
        <w:rPr>
          <w:rFonts w:ascii="Times New Roman" w:hAnsi="Times New Roman" w:cs="Times New Roman"/>
          <w:b/>
          <w:bCs/>
        </w:rPr>
      </w:pPr>
      <w:r w:rsidRPr="001D208B">
        <w:rPr>
          <w:rStyle w:val="Strong"/>
          <w:rFonts w:ascii="Times New Roman" w:hAnsi="Times New Roman" w:cs="Times New Roman"/>
        </w:rPr>
        <w:t>Fig. 1.</w:t>
      </w:r>
      <w:r w:rsidRPr="001D208B">
        <w:rPr>
          <w:rStyle w:val="Emphasis"/>
          <w:rFonts w:ascii="Times New Roman" w:hAnsi="Times New Roman" w:cs="Times New Roman"/>
        </w:rPr>
        <w:t xml:space="preserve"> Dual culture assay showing the antagonistic activity of ‘Candidatus Pseudomonas </w:t>
      </w:r>
      <w:proofErr w:type="spellStart"/>
      <w:r w:rsidRPr="001D208B">
        <w:rPr>
          <w:rStyle w:val="Emphasis"/>
          <w:rFonts w:ascii="Times New Roman" w:hAnsi="Times New Roman" w:cs="Times New Roman"/>
        </w:rPr>
        <w:t>auctus</w:t>
      </w:r>
      <w:proofErr w:type="spellEnd"/>
      <w:r w:rsidRPr="001D208B">
        <w:rPr>
          <w:rStyle w:val="Emphasis"/>
          <w:rFonts w:ascii="Times New Roman" w:hAnsi="Times New Roman" w:cs="Times New Roman"/>
        </w:rPr>
        <w:t xml:space="preserve">’ JDE115 Ali et al. 2025 against </w:t>
      </w:r>
      <w:proofErr w:type="spellStart"/>
      <w:r w:rsidRPr="001D208B">
        <w:rPr>
          <w:rStyle w:val="Emphasis"/>
          <w:rFonts w:ascii="Times New Roman" w:hAnsi="Times New Roman" w:cs="Times New Roman"/>
        </w:rPr>
        <w:t>Agroathelia</w:t>
      </w:r>
      <w:proofErr w:type="spellEnd"/>
      <w:r w:rsidRPr="001D208B">
        <w:rPr>
          <w:rStyle w:val="Emphasis"/>
          <w:rFonts w:ascii="Times New Roman" w:hAnsi="Times New Roman" w:cs="Times New Roman"/>
        </w:rPr>
        <w:t xml:space="preserve"> </w:t>
      </w:r>
      <w:proofErr w:type="spellStart"/>
      <w:r w:rsidRPr="001D208B">
        <w:rPr>
          <w:rStyle w:val="Emphasis"/>
          <w:rFonts w:ascii="Times New Roman" w:hAnsi="Times New Roman" w:cs="Times New Roman"/>
        </w:rPr>
        <w:t>rolfsii</w:t>
      </w:r>
      <w:proofErr w:type="spellEnd"/>
      <w:r w:rsidRPr="001D208B">
        <w:rPr>
          <w:rStyle w:val="Emphasis"/>
          <w:rFonts w:ascii="Times New Roman" w:hAnsi="Times New Roman" w:cs="Times New Roman"/>
        </w:rPr>
        <w:t xml:space="preserve"> </w:t>
      </w:r>
      <w:r w:rsidRPr="001D208B">
        <w:rPr>
          <w:rFonts w:ascii="Times New Roman" w:hAnsi="Times New Roman" w:cs="Times New Roman"/>
          <w:b/>
          <w:bCs/>
        </w:rPr>
        <w:t xml:space="preserve">(Curzi) Redhead &amp; S.T. Mull. (2021) </w:t>
      </w:r>
      <w:r w:rsidRPr="001D208B">
        <w:rPr>
          <w:rStyle w:val="Emphasis"/>
          <w:rFonts w:ascii="Times New Roman" w:hAnsi="Times New Roman" w:cs="Times New Roman"/>
        </w:rPr>
        <w:t xml:space="preserve">on PDA medium. </w:t>
      </w:r>
      <w:r w:rsidRPr="001D208B">
        <w:rPr>
          <w:rStyle w:val="Emphasis"/>
          <w:rFonts w:ascii="Times New Roman" w:hAnsi="Times New Roman" w:cs="Times New Roman"/>
          <w:sz w:val="22"/>
          <w:szCs w:val="22"/>
        </w:rPr>
        <w:t xml:space="preserve">From left to right: (a) JDE115 placed directly on fungal sclerotia, (b) JDE115 alone (bacterial control, (c) JDE115 and sclerotia placed at a distance, (d) A. </w:t>
      </w:r>
      <w:proofErr w:type="spellStart"/>
      <w:r w:rsidRPr="001D208B">
        <w:rPr>
          <w:rStyle w:val="Emphasis"/>
          <w:rFonts w:ascii="Times New Roman" w:hAnsi="Times New Roman" w:cs="Times New Roman"/>
          <w:sz w:val="22"/>
          <w:szCs w:val="22"/>
        </w:rPr>
        <w:t>rolfsii</w:t>
      </w:r>
      <w:proofErr w:type="spellEnd"/>
      <w:r w:rsidRPr="001D208B">
        <w:rPr>
          <w:rStyle w:val="Emphasis"/>
          <w:rFonts w:ascii="Times New Roman" w:hAnsi="Times New Roman" w:cs="Times New Roman"/>
          <w:sz w:val="22"/>
          <w:szCs w:val="22"/>
        </w:rPr>
        <w:t xml:space="preserve"> sclerotia alone (fungal control), (e) JDE115 and fungal hyphae placed at a distance, (f) A. </w:t>
      </w:r>
      <w:proofErr w:type="spellStart"/>
      <w:r w:rsidRPr="001D208B">
        <w:rPr>
          <w:rStyle w:val="Emphasis"/>
          <w:rFonts w:ascii="Times New Roman" w:hAnsi="Times New Roman" w:cs="Times New Roman"/>
          <w:sz w:val="22"/>
          <w:szCs w:val="22"/>
        </w:rPr>
        <w:t>rolfsii</w:t>
      </w:r>
      <w:proofErr w:type="spellEnd"/>
      <w:r w:rsidRPr="001D208B">
        <w:rPr>
          <w:rStyle w:val="Emphasis"/>
          <w:rFonts w:ascii="Times New Roman" w:hAnsi="Times New Roman" w:cs="Times New Roman"/>
          <w:sz w:val="22"/>
          <w:szCs w:val="22"/>
        </w:rPr>
        <w:t xml:space="preserve"> hyphae alone (fungal control), and (g) JDE115 placed directly on fungal hyphae. The assay demonstrates the ability of JDE115 to inhibit both </w:t>
      </w:r>
      <w:proofErr w:type="spellStart"/>
      <w:r w:rsidRPr="001D208B">
        <w:rPr>
          <w:rStyle w:val="Emphasis"/>
          <w:rFonts w:ascii="Times New Roman" w:hAnsi="Times New Roman" w:cs="Times New Roman"/>
          <w:sz w:val="22"/>
          <w:szCs w:val="22"/>
        </w:rPr>
        <w:t>sclerotial</w:t>
      </w:r>
      <w:proofErr w:type="spellEnd"/>
      <w:r w:rsidRPr="001D208B">
        <w:rPr>
          <w:rStyle w:val="Emphasis"/>
          <w:rFonts w:ascii="Times New Roman" w:hAnsi="Times New Roman" w:cs="Times New Roman"/>
          <w:sz w:val="22"/>
          <w:szCs w:val="22"/>
        </w:rPr>
        <w:t xml:space="preserve"> germination and hyphal growth through direct and distance-based antagonism.</w:t>
      </w:r>
    </w:p>
    <w:p w14:paraId="606014CB" w14:textId="77777777" w:rsidR="007D28DE" w:rsidRDefault="007D28DE"/>
    <w:sectPr w:rsidR="007D28D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0D7"/>
    <w:rsid w:val="00010720"/>
    <w:rsid w:val="000110D7"/>
    <w:rsid w:val="00012BF0"/>
    <w:rsid w:val="000A0297"/>
    <w:rsid w:val="000B6E47"/>
    <w:rsid w:val="000C49CA"/>
    <w:rsid w:val="000D1CBF"/>
    <w:rsid w:val="000D58EB"/>
    <w:rsid w:val="00115EE0"/>
    <w:rsid w:val="00117478"/>
    <w:rsid w:val="00133A05"/>
    <w:rsid w:val="00136AFA"/>
    <w:rsid w:val="00142533"/>
    <w:rsid w:val="00143DBB"/>
    <w:rsid w:val="00154393"/>
    <w:rsid w:val="00157832"/>
    <w:rsid w:val="00182773"/>
    <w:rsid w:val="001928E1"/>
    <w:rsid w:val="00193892"/>
    <w:rsid w:val="001B0810"/>
    <w:rsid w:val="001B6D01"/>
    <w:rsid w:val="001C6CE0"/>
    <w:rsid w:val="001D7682"/>
    <w:rsid w:val="001F0419"/>
    <w:rsid w:val="001F75FC"/>
    <w:rsid w:val="0020583E"/>
    <w:rsid w:val="00215409"/>
    <w:rsid w:val="0022432F"/>
    <w:rsid w:val="00277BF9"/>
    <w:rsid w:val="002C6E66"/>
    <w:rsid w:val="00302EE8"/>
    <w:rsid w:val="00324100"/>
    <w:rsid w:val="00330DA3"/>
    <w:rsid w:val="003B420E"/>
    <w:rsid w:val="003B48A9"/>
    <w:rsid w:val="003D1591"/>
    <w:rsid w:val="00412415"/>
    <w:rsid w:val="0041732C"/>
    <w:rsid w:val="00417F67"/>
    <w:rsid w:val="00425952"/>
    <w:rsid w:val="00426492"/>
    <w:rsid w:val="004B673E"/>
    <w:rsid w:val="004C53DF"/>
    <w:rsid w:val="004E0BD6"/>
    <w:rsid w:val="004F0394"/>
    <w:rsid w:val="004F1FE6"/>
    <w:rsid w:val="004F7D7F"/>
    <w:rsid w:val="005300B7"/>
    <w:rsid w:val="00532CB7"/>
    <w:rsid w:val="00570C96"/>
    <w:rsid w:val="0058066E"/>
    <w:rsid w:val="0059298C"/>
    <w:rsid w:val="005B2045"/>
    <w:rsid w:val="005B23AB"/>
    <w:rsid w:val="005B71F5"/>
    <w:rsid w:val="005C4430"/>
    <w:rsid w:val="005F027F"/>
    <w:rsid w:val="005F51BC"/>
    <w:rsid w:val="00614B2C"/>
    <w:rsid w:val="00616BAC"/>
    <w:rsid w:val="00632166"/>
    <w:rsid w:val="00650B77"/>
    <w:rsid w:val="00657FAF"/>
    <w:rsid w:val="006654E0"/>
    <w:rsid w:val="006675B8"/>
    <w:rsid w:val="00672ED5"/>
    <w:rsid w:val="0069417D"/>
    <w:rsid w:val="006A320E"/>
    <w:rsid w:val="006B361A"/>
    <w:rsid w:val="006B6433"/>
    <w:rsid w:val="006D629C"/>
    <w:rsid w:val="006D6831"/>
    <w:rsid w:val="006F04E4"/>
    <w:rsid w:val="006F09B3"/>
    <w:rsid w:val="00717BFC"/>
    <w:rsid w:val="007211AE"/>
    <w:rsid w:val="00726CB3"/>
    <w:rsid w:val="007445F0"/>
    <w:rsid w:val="007B18CF"/>
    <w:rsid w:val="007B4E12"/>
    <w:rsid w:val="007B62A1"/>
    <w:rsid w:val="007D28DE"/>
    <w:rsid w:val="007D4D9D"/>
    <w:rsid w:val="007F31A5"/>
    <w:rsid w:val="007F675E"/>
    <w:rsid w:val="008931A2"/>
    <w:rsid w:val="008943E1"/>
    <w:rsid w:val="008B024B"/>
    <w:rsid w:val="008C1BAF"/>
    <w:rsid w:val="008C2347"/>
    <w:rsid w:val="008C5D5E"/>
    <w:rsid w:val="008E5628"/>
    <w:rsid w:val="0090711C"/>
    <w:rsid w:val="00927D50"/>
    <w:rsid w:val="00952248"/>
    <w:rsid w:val="009C2928"/>
    <w:rsid w:val="00A311C9"/>
    <w:rsid w:val="00A43148"/>
    <w:rsid w:val="00AA2881"/>
    <w:rsid w:val="00AA6953"/>
    <w:rsid w:val="00AC639F"/>
    <w:rsid w:val="00AF1DB1"/>
    <w:rsid w:val="00AF4A0A"/>
    <w:rsid w:val="00AF7C5B"/>
    <w:rsid w:val="00B057EB"/>
    <w:rsid w:val="00B53B2D"/>
    <w:rsid w:val="00B57A64"/>
    <w:rsid w:val="00B60406"/>
    <w:rsid w:val="00B62FC4"/>
    <w:rsid w:val="00BC543E"/>
    <w:rsid w:val="00BE69AF"/>
    <w:rsid w:val="00BF5108"/>
    <w:rsid w:val="00C00C0E"/>
    <w:rsid w:val="00C27BF1"/>
    <w:rsid w:val="00C61DC3"/>
    <w:rsid w:val="00C824D0"/>
    <w:rsid w:val="00CC40DB"/>
    <w:rsid w:val="00CD0B4A"/>
    <w:rsid w:val="00D12287"/>
    <w:rsid w:val="00D172E4"/>
    <w:rsid w:val="00D4038F"/>
    <w:rsid w:val="00D432DD"/>
    <w:rsid w:val="00D57D59"/>
    <w:rsid w:val="00D74A6B"/>
    <w:rsid w:val="00D825B5"/>
    <w:rsid w:val="00D8605D"/>
    <w:rsid w:val="00DA7584"/>
    <w:rsid w:val="00DB08FF"/>
    <w:rsid w:val="00DB12A8"/>
    <w:rsid w:val="00DC7B76"/>
    <w:rsid w:val="00DE387F"/>
    <w:rsid w:val="00DE61E6"/>
    <w:rsid w:val="00DF5C6F"/>
    <w:rsid w:val="00E01040"/>
    <w:rsid w:val="00E7046F"/>
    <w:rsid w:val="00E77AC5"/>
    <w:rsid w:val="00E91837"/>
    <w:rsid w:val="00EB0B0F"/>
    <w:rsid w:val="00EB6883"/>
    <w:rsid w:val="00F053A1"/>
    <w:rsid w:val="00F63145"/>
    <w:rsid w:val="00F875B0"/>
    <w:rsid w:val="00FB4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1FC882D"/>
  <w15:chartTrackingRefBased/>
  <w15:docId w15:val="{CE3FC5BA-F78A-384C-B320-D7CEE40E8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0D7"/>
    <w:pPr>
      <w:spacing w:after="0" w:line="240" w:lineRule="auto"/>
    </w:pPr>
  </w:style>
  <w:style w:type="paragraph" w:styleId="Heading1">
    <w:name w:val="heading 1"/>
    <w:basedOn w:val="Normal"/>
    <w:next w:val="Normal"/>
    <w:link w:val="Heading1Char"/>
    <w:uiPriority w:val="9"/>
    <w:qFormat/>
    <w:rsid w:val="000110D7"/>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10D7"/>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10D7"/>
    <w:pPr>
      <w:keepNext/>
      <w:keepLines/>
      <w:spacing w:before="160" w:after="80" w:line="278"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10D7"/>
    <w:pPr>
      <w:keepNext/>
      <w:keepLines/>
      <w:spacing w:before="80" w:after="40" w:line="278"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10D7"/>
    <w:pPr>
      <w:keepNext/>
      <w:keepLines/>
      <w:spacing w:before="80" w:after="40" w:line="278"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10D7"/>
    <w:pPr>
      <w:keepNext/>
      <w:keepLines/>
      <w:spacing w:before="40" w:line="278"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10D7"/>
    <w:pPr>
      <w:keepNext/>
      <w:keepLines/>
      <w:spacing w:before="40" w:line="278"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10D7"/>
    <w:pPr>
      <w:keepNext/>
      <w:keepLines/>
      <w:spacing w:line="278"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10D7"/>
    <w:pPr>
      <w:keepNext/>
      <w:keepLines/>
      <w:spacing w:line="278"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0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10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10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10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10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10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10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10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10D7"/>
    <w:rPr>
      <w:rFonts w:eastAsiaTheme="majorEastAsia" w:cstheme="majorBidi"/>
      <w:color w:val="272727" w:themeColor="text1" w:themeTint="D8"/>
    </w:rPr>
  </w:style>
  <w:style w:type="paragraph" w:styleId="Title">
    <w:name w:val="Title"/>
    <w:basedOn w:val="Normal"/>
    <w:next w:val="Normal"/>
    <w:link w:val="TitleChar"/>
    <w:uiPriority w:val="10"/>
    <w:qFormat/>
    <w:rsid w:val="000110D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10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10D7"/>
    <w:pPr>
      <w:numPr>
        <w:ilvl w:val="1"/>
      </w:numPr>
      <w:spacing w:after="160" w:line="278"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10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10D7"/>
    <w:pPr>
      <w:spacing w:before="160" w:after="160" w:line="278" w:lineRule="auto"/>
      <w:jc w:val="center"/>
    </w:pPr>
    <w:rPr>
      <w:i/>
      <w:iCs/>
      <w:color w:val="404040" w:themeColor="text1" w:themeTint="BF"/>
    </w:rPr>
  </w:style>
  <w:style w:type="character" w:customStyle="1" w:styleId="QuoteChar">
    <w:name w:val="Quote Char"/>
    <w:basedOn w:val="DefaultParagraphFont"/>
    <w:link w:val="Quote"/>
    <w:uiPriority w:val="29"/>
    <w:rsid w:val="000110D7"/>
    <w:rPr>
      <w:i/>
      <w:iCs/>
      <w:color w:val="404040" w:themeColor="text1" w:themeTint="BF"/>
    </w:rPr>
  </w:style>
  <w:style w:type="paragraph" w:styleId="ListParagraph">
    <w:name w:val="List Paragraph"/>
    <w:basedOn w:val="Normal"/>
    <w:uiPriority w:val="34"/>
    <w:qFormat/>
    <w:rsid w:val="000110D7"/>
    <w:pPr>
      <w:spacing w:after="160" w:line="278" w:lineRule="auto"/>
      <w:ind w:left="720"/>
      <w:contextualSpacing/>
    </w:pPr>
  </w:style>
  <w:style w:type="character" w:styleId="IntenseEmphasis">
    <w:name w:val="Intense Emphasis"/>
    <w:basedOn w:val="DefaultParagraphFont"/>
    <w:uiPriority w:val="21"/>
    <w:qFormat/>
    <w:rsid w:val="000110D7"/>
    <w:rPr>
      <w:i/>
      <w:iCs/>
      <w:color w:val="0F4761" w:themeColor="accent1" w:themeShade="BF"/>
    </w:rPr>
  </w:style>
  <w:style w:type="paragraph" w:styleId="IntenseQuote">
    <w:name w:val="Intense Quote"/>
    <w:basedOn w:val="Normal"/>
    <w:next w:val="Normal"/>
    <w:link w:val="IntenseQuoteChar"/>
    <w:uiPriority w:val="30"/>
    <w:qFormat/>
    <w:rsid w:val="000110D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10D7"/>
    <w:rPr>
      <w:i/>
      <w:iCs/>
      <w:color w:val="0F4761" w:themeColor="accent1" w:themeShade="BF"/>
    </w:rPr>
  </w:style>
  <w:style w:type="character" w:styleId="IntenseReference">
    <w:name w:val="Intense Reference"/>
    <w:basedOn w:val="DefaultParagraphFont"/>
    <w:uiPriority w:val="32"/>
    <w:qFormat/>
    <w:rsid w:val="000110D7"/>
    <w:rPr>
      <w:b/>
      <w:bCs/>
      <w:smallCaps/>
      <w:color w:val="0F4761" w:themeColor="accent1" w:themeShade="BF"/>
      <w:spacing w:val="5"/>
    </w:rPr>
  </w:style>
  <w:style w:type="character" w:styleId="Emphasis">
    <w:name w:val="Emphasis"/>
    <w:basedOn w:val="DefaultParagraphFont"/>
    <w:uiPriority w:val="20"/>
    <w:qFormat/>
    <w:rsid w:val="000110D7"/>
    <w:rPr>
      <w:i/>
      <w:iCs/>
    </w:rPr>
  </w:style>
  <w:style w:type="character" w:styleId="Strong">
    <w:name w:val="Strong"/>
    <w:basedOn w:val="DefaultParagraphFont"/>
    <w:uiPriority w:val="22"/>
    <w:qFormat/>
    <w:rsid w:val="000110D7"/>
    <w:rPr>
      <w:b/>
      <w:bCs/>
    </w:rPr>
  </w:style>
  <w:style w:type="paragraph" w:styleId="NormalWeb">
    <w:name w:val="Normal (Web)"/>
    <w:basedOn w:val="Normal"/>
    <w:uiPriority w:val="99"/>
    <w:unhideWhenUsed/>
    <w:rsid w:val="000110D7"/>
    <w:pPr>
      <w:spacing w:before="100" w:beforeAutospacing="1" w:after="100" w:afterAutospacing="1"/>
    </w:pPr>
    <w:rPr>
      <w:rFonts w:ascii="Times New Roman" w:eastAsia="Times New Roman" w:hAnsi="Times New Roman" w:cs="Times New Roman"/>
      <w:kern w:val="0"/>
      <w14:ligatures w14:val="none"/>
    </w:rPr>
  </w:style>
  <w:style w:type="character" w:customStyle="1" w:styleId="mord">
    <w:name w:val="mord"/>
    <w:basedOn w:val="DefaultParagraphFont"/>
    <w:rsid w:val="000110D7"/>
  </w:style>
  <w:style w:type="character" w:customStyle="1" w:styleId="mrel">
    <w:name w:val="mrel"/>
    <w:basedOn w:val="DefaultParagraphFont"/>
    <w:rsid w:val="000110D7"/>
  </w:style>
  <w:style w:type="character" w:customStyle="1" w:styleId="delimsizing">
    <w:name w:val="delimsizing"/>
    <w:basedOn w:val="DefaultParagraphFont"/>
    <w:rsid w:val="000110D7"/>
  </w:style>
  <w:style w:type="character" w:customStyle="1" w:styleId="mbin">
    <w:name w:val="mbin"/>
    <w:basedOn w:val="DefaultParagraphFont"/>
    <w:rsid w:val="000110D7"/>
  </w:style>
  <w:style w:type="character" w:customStyle="1" w:styleId="vlist-s">
    <w:name w:val="vlist-s"/>
    <w:basedOn w:val="DefaultParagraphFont"/>
    <w:rsid w:val="00011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1420</Words>
  <Characters>8097</Characters>
  <Application>Microsoft Office Word</Application>
  <DocSecurity>0</DocSecurity>
  <Lines>67</Lines>
  <Paragraphs>18</Paragraphs>
  <ScaleCrop>false</ScaleCrop>
  <Company/>
  <LinksUpToDate>false</LinksUpToDate>
  <CharactersWithSpaces>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Md Sahadat</dc:creator>
  <cp:keywords/>
  <dc:description/>
  <cp:lastModifiedBy>Ali, Md Sahadat</cp:lastModifiedBy>
  <cp:revision>2</cp:revision>
  <dcterms:created xsi:type="dcterms:W3CDTF">2025-09-10T15:19:00Z</dcterms:created>
  <dcterms:modified xsi:type="dcterms:W3CDTF">2025-09-10T15:51:00Z</dcterms:modified>
</cp:coreProperties>
</file>