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148A52" w14:textId="0D5978B4" w:rsidR="00420D7E" w:rsidRDefault="004A66C7" w:rsidP="00D87226">
      <w:pPr>
        <w:spacing w:line="480" w:lineRule="auto"/>
        <w:rPr>
          <w:b/>
        </w:rPr>
      </w:pPr>
      <w:r>
        <w:rPr>
          <w:b/>
        </w:rPr>
        <w:t>A</w:t>
      </w:r>
      <w:r w:rsidR="00ED1F9B">
        <w:rPr>
          <w:b/>
        </w:rPr>
        <w:t xml:space="preserve"> </w:t>
      </w:r>
      <w:r w:rsidR="00F11E5D">
        <w:rPr>
          <w:b/>
        </w:rPr>
        <w:t xml:space="preserve">DNA Amplicon Sequence Data </w:t>
      </w:r>
      <w:r w:rsidR="00743BDE">
        <w:rPr>
          <w:b/>
        </w:rPr>
        <w:t xml:space="preserve">Processing and </w:t>
      </w:r>
      <w:r>
        <w:rPr>
          <w:b/>
        </w:rPr>
        <w:t>Analy</w:t>
      </w:r>
      <w:r w:rsidR="00790AD7">
        <w:rPr>
          <w:b/>
        </w:rPr>
        <w:t>sis Pipeline for</w:t>
      </w:r>
      <w:r>
        <w:rPr>
          <w:b/>
        </w:rPr>
        <w:t xml:space="preserve"> </w:t>
      </w:r>
      <w:r w:rsidR="00ED1F9B">
        <w:rPr>
          <w:b/>
        </w:rPr>
        <w:t>Environmental Microbiomes</w:t>
      </w:r>
    </w:p>
    <w:p w14:paraId="6021464F" w14:textId="590600B0" w:rsidR="00AE3511" w:rsidRDefault="00AE3511" w:rsidP="00D87226">
      <w:pPr>
        <w:spacing w:line="480" w:lineRule="auto"/>
      </w:pPr>
      <w:r>
        <w:t>Authors: Kathryn F. Atherton, Michael Silverstein, Chikae Tatsumi, Corinne Vietorisz, Jennifer M. Bhatnagar</w:t>
      </w:r>
    </w:p>
    <w:p w14:paraId="56554085" w14:textId="77777777" w:rsidR="00AE3511" w:rsidRPr="00AE3511" w:rsidRDefault="00AE3511" w:rsidP="00D87226">
      <w:pPr>
        <w:spacing w:line="480" w:lineRule="auto"/>
      </w:pPr>
    </w:p>
    <w:p w14:paraId="0A9FE81A" w14:textId="21ACEE1D" w:rsidR="00F45B21" w:rsidRDefault="004570DC" w:rsidP="00D87226">
      <w:pPr>
        <w:spacing w:line="480" w:lineRule="auto"/>
        <w:rPr>
          <w:u w:val="single"/>
        </w:rPr>
      </w:pPr>
      <w:r>
        <w:rPr>
          <w:u w:val="single"/>
        </w:rPr>
        <w:t>ABSTRACT</w:t>
      </w:r>
    </w:p>
    <w:p w14:paraId="6FF7A50F" w14:textId="32667478" w:rsidR="00653EF3" w:rsidRDefault="00653EF3" w:rsidP="00D87226">
      <w:pPr>
        <w:spacing w:line="480" w:lineRule="auto"/>
      </w:pPr>
      <w:r w:rsidRPr="00653EF3">
        <w:t>Amplicon sequencing is a widely used method to characterize microbial communities across environmental and host-associated sample types. However, variation in DNA extraction methods, sequencing batch effects, contamination, and low-quality samples can introduce biases that hinder reproducibility and cross-sample comparisons. Here, we present a modular and reproducible protocol for amplicon sequence cleaning that accommodates diverse sample types and experimental designs. This workflow standardizes quality filtering, contaminant removal, batch correction, and functional annotation to enable robust downstream analyses of bacterial and fungal communities. The protocol integrates the BU16S</w:t>
      </w:r>
      <w:r w:rsidR="0024243C">
        <w:t>-ITS</w:t>
      </w:r>
      <w:r w:rsidRPr="00653EF3">
        <w:t xml:space="preserve"> pipeline for ASV inference with R-based tools for data cleaning and normalization and is suitable for projects using Illumina sequencing platforms. Code and documentation are available at </w:t>
      </w:r>
      <w:r w:rsidR="00220D09" w:rsidRPr="00220D09">
        <w:t>https://github.com/k-atherton/Amplicon_Sequence_Data_Processing</w:t>
      </w:r>
      <w:r w:rsidR="00220D09">
        <w:t>.</w:t>
      </w:r>
    </w:p>
    <w:p w14:paraId="427205E5" w14:textId="77777777" w:rsidR="00653EF3" w:rsidRDefault="00653EF3" w:rsidP="00D87226">
      <w:pPr>
        <w:spacing w:line="480" w:lineRule="auto"/>
        <w:rPr>
          <w:b/>
        </w:rPr>
      </w:pPr>
    </w:p>
    <w:p w14:paraId="3E7B2C5F" w14:textId="73208A99" w:rsidR="00A30B82" w:rsidRPr="00A30B82" w:rsidRDefault="00A30B82" w:rsidP="00D87226">
      <w:pPr>
        <w:spacing w:line="480" w:lineRule="auto"/>
      </w:pPr>
      <w:r>
        <w:rPr>
          <w:b/>
        </w:rPr>
        <w:t>Keywords:</w:t>
      </w:r>
      <w:r>
        <w:t xml:space="preserve"> </w:t>
      </w:r>
      <w:r w:rsidR="00653EF3">
        <w:t>amplicon sequencing, microbiome, quality control, Illumina, compositional data, batch correction, functional annotation, bioinformatics, contaminant removal</w:t>
      </w:r>
    </w:p>
    <w:p w14:paraId="358FCD16" w14:textId="6F90E6B7" w:rsidR="004570DC" w:rsidRDefault="004570DC" w:rsidP="00D87226">
      <w:pPr>
        <w:spacing w:line="480" w:lineRule="auto"/>
      </w:pPr>
    </w:p>
    <w:p w14:paraId="5CA9799B" w14:textId="32D16E3C" w:rsidR="00C81151" w:rsidRDefault="00C81151" w:rsidP="00D87226">
      <w:pPr>
        <w:spacing w:line="480" w:lineRule="auto"/>
        <w:rPr>
          <w:u w:val="single"/>
        </w:rPr>
      </w:pPr>
      <w:r>
        <w:rPr>
          <w:u w:val="single"/>
        </w:rPr>
        <w:t>BACKGROUND</w:t>
      </w:r>
    </w:p>
    <w:p w14:paraId="30649761" w14:textId="6A2B14B1" w:rsidR="00653EF3" w:rsidRPr="00653EF3" w:rsidRDefault="00653EF3" w:rsidP="00653EF3">
      <w:pPr>
        <w:spacing w:line="480" w:lineRule="auto"/>
      </w:pPr>
      <w:r w:rsidRPr="00653EF3">
        <w:lastRenderedPageBreak/>
        <w:t xml:space="preserve">Amplicon sequencing of marker genes </w:t>
      </w:r>
      <w:r w:rsidR="00ED1F9B">
        <w:t xml:space="preserve">for microorganisms, </w:t>
      </w:r>
      <w:r w:rsidRPr="00653EF3">
        <w:t xml:space="preserve">such as </w:t>
      </w:r>
      <w:r w:rsidR="00ED1F9B">
        <w:t>genes coding the RNA component of the small subunit of the ribosome (</w:t>
      </w:r>
      <w:r w:rsidRPr="00653EF3">
        <w:t xml:space="preserve">16S </w:t>
      </w:r>
      <w:r w:rsidR="00ED1F9B">
        <w:t xml:space="preserve">rRNA genes) </w:t>
      </w:r>
      <w:r w:rsidRPr="00653EF3">
        <w:t xml:space="preserve">and </w:t>
      </w:r>
      <w:r w:rsidR="00ED1F9B">
        <w:t>the intergenic transcribed spacer DNA (</w:t>
      </w:r>
      <w:r w:rsidRPr="00653EF3">
        <w:t>ITS</w:t>
      </w:r>
      <w:r w:rsidR="00ED1F9B">
        <w:t>)</w:t>
      </w:r>
      <w:r w:rsidRPr="00653EF3">
        <w:t xml:space="preserve"> has become a </w:t>
      </w:r>
      <w:r w:rsidR="00CA1A10" w:rsidRPr="00653EF3">
        <w:t>foundation</w:t>
      </w:r>
      <w:r w:rsidRPr="00653EF3">
        <w:t xml:space="preserve"> of microbial ecology, enabling high-throughput </w:t>
      </w:r>
      <w:r w:rsidR="00CA1A10">
        <w:t>studies</w:t>
      </w:r>
      <w:r w:rsidRPr="00653EF3">
        <w:t xml:space="preserve"> of bacterial and fungal community composition across a wide range of environments</w:t>
      </w:r>
      <w:r w:rsidR="00ED1F9B">
        <w:t xml:space="preserve"> </w:t>
      </w:r>
      <w:r w:rsidR="00304F9F">
        <w:fldChar w:fldCharType="begin"/>
      </w:r>
      <w:r w:rsidR="00304F9F">
        <w:instrText xml:space="preserve"> ADDIN ZOTERO_ITEM CSL_CITATION {"citationID":"Q8zvNuNM","properties":{"formattedCitation":"(Qin et al., 2021; Thompson et al., 2017; Vasar et al., 2022)","plainCitation":"(Qin et al., 2021; Thompson et al., 2017; Vasar et al., 2022)","noteIndex":0},"citationItems":[{"id":8997,"uris":["http://zotero.org/users/9359754/items/FEC2HZPD"],"itemData":{"id":8997,"type":"article-journal","abstract":"Soil microbial communities play critical roles in various ecosystem processes, but studies at a large spatial and temporal scale have been challenging due to the difficulty in finding the relevant samples in available data sets as well as the lack of standardization in sample collection and processing. The National Ecological Observatory Network (NEON) has been collecting soil microbial community data multiple times per year for 47 terrestrial sites in 20 eco-climatic domains, producing one of the most extensive standardized sampling efforts for soil microbial biodiversity to date. Here, we introduce the neonMicrobe R package—a suite of downloading, preprocessing, data set assembly, and sensitivity analysis tools for NEON’s newly published 16S and ITS amplicon sequencing data products which characterize soil bacterial and fungal communities, respectively. neonMicrobe is designed to make these data more accessible to ecologists without assuming prior experience with bioinformatic pipelines. We describe quality control steps used to remove quality-flagged samples, report on sensitivity analyses used to determine appropriate quality filtering parameters for the DADA2 workflow, and demonstrate the immediate usability of the output data by conducting standard analyses of soil microbial diversity. The sequence abundance tables produced by neonMicrobe can be linked to NEON’s other data products (e.g., soil physical and chemical properties, plant community composition) and soil subsamples archived in the NEON Biorepository. We provide recommendations for incorporating neonMicrobe into reproducible scientific workflows, discuss technical considerations for large-scale amplicon sequence analysis, and outline future directions for NEON-enabled microbial ecology. In particular, we believe that NEON marker gene sequence data will allow researchers to answer outstanding questions about the spatial and temporal dynamics of soil microbial communities while explicitly accounting for scale dependence. We expect that the data produced by NEON and the neonMicrobe R package will act as a valuable ecological baseline to inform and contextualize future experimental and modeling endeavors.","container-title":"Ecosphere","DOI":"10.1002/ecs2.3842","ISSN":"2150-8925","issue":"11","language":"en","license":"© 2021 The Authors. Ecosphere published by Wiley Periodicals LLC on behalf of The Ecological Society of America.","note":"_eprint: https://esajournals.onlinelibrary.wiley.com/doi/pdf/10.1002/ecs2.3842","page":"e03842","source":"Wiley Online Library","title":"From DNA sequences to microbial ecology: Wrangling NEON soil microbe data with the neonMicrobe R package","title-short":"From DNA sequences to microbial ecology","volume":"12","author":[{"family":"Qin","given":"Clara"},{"family":"Bartelme","given":"Ryan"},{"family":"Chung","given":"Y. Anny"},{"family":"Fairbanks","given":"Dawson"},{"family":"Lin","given":"Yang"},{"family":"Liptzin","given":"Daniel"},{"family":"Muscarella","given":"Chance"},{"family":"Naithani","given":"Kusum"},{"family":"Peay","given":"Kabir"},{"family":"Pellitier","given":"Peter"},{"family":"St. Rose","given":"Ayanna"},{"family":"Stanish","given":"Lee"},{"family":"Werbin","given":"Zoey"},{"family":"Zhu","given":"Kai"}],"issued":{"date-parts":[["2021"]]},"citation-key":"qin2021"}},{"id":2197,"uris":["http://zotero.org/users/9359754/items/MY2PTUR9"],"itemData":{"id":2197,"type":"article-journal","abstract":"Our growing awareness of the microbial world's importance and diversity contrasts starkly with our limited understanding of its fundamental structure. Despite recent advances in DNA sequencing, a lack of standardized protocols and common analytical frameworks impedes comparisons among studies, hindering the development of global inferences about microbial life on Earth. Here we present a meta-analysis of microbial community samples collected by hundreds of researchers for the Earth Microbiome Project. Coordinated protocols and new analytical methods, particularly the use of exact sequences instead of clustered operational taxonomic units, enable bacterial and archaeal ribosomal RNA gene sequences to be followed across multiple studies and allow us to explore patterns of diversity at an unprecedented scale. The result is both a reference database giving global context to DNA sequence data and a framework for incorporating data from future studies, fostering increasingly complete characterization of Earth's microbial diversity.","container-title":"Nature","DOI":"10.1038/nature24621","ISSN":"14764687","issue":"7681","note":"PMID: 29088705","page":"457–463","title":"A communal catalogue reveals Earth's multiscale microbial diversity","volume":"551","author":[{"family":"Thompson","given":"Luke R."},{"family":"Sanders","given":"Jon G."},{"family":"McDonald","given":"Daniel"},{"family":"Amir","given":"Amnon"},{"family":"Ladau","given":"Joshua"},{"family":"Locey","given":"Kenneth J"},{"family":"Prill","given":"Robert J"},{"family":"Tripathi","given":"Anupriya"},{"family":"Gibbons","given":"Sean M."},{"family":"Ackermann","given":"Gail"},{"family":"Navas-Molina","given":"Jose A."},{"family":"Janssen","given":"Stefan"},{"family":"Kopylova","given":"Evguenia"},{"family":"Vázquez-Baeza","given":"Yoshiki"},{"family":"González","given":"Antonio"},{"family":"Morton","given":"James T."},{"family":"Mirarab","given":"Siavash"},{"family":"Xu","given":"Zhenjiang Zech"},{"family":"Jiang","given":"Lingjing"},{"family":"Haroon","given":"Mohamed F"},{"family":"Kanbar","given":"Jad"},{"family":"Zhu","given":"Qiyun"},{"family":"Song","given":"Se Jin"},{"family":"Kosciolek","given":"Tomasz"},{"family":"Bokulich","given":"Nicholas A"},{"family":"Lefler","given":"Joshua"},{"family":"Brislawn","given":"Colin J"},{"family":"Humphrey","given":"Gregory C"},{"family":"Owens","given":"Sarah M."},{"family":"Hampton-Marcell","given":"Jarrad"},{"family":"Berg-Lyons","given":"Donna"},{"family":"McKenzie","given":"Valerie"},{"family":"Fierer","given":"Noah G."},{"family":"Fuhrman","given":"Jed A."},{"family":"Clauset","given":"Aaron"},{"family":"Stevens","given":"Rick L."},{"family":"Shade","given":"Ashley"},{"family":"Pollard","given":"Katherine S."},{"family":"Goodwin","given":"Kelly D."},{"family":"Jansson","given":"Janet K."},{"family":"Gilbert","given":"Jack A."},{"family":"Knight","given":"Rob"},{"family":"Agosto Rivera","given":"Jose L."},{"family":"Al-Moosawi","given":"Lisa"},{"family":"Alverdy","given":"John"},{"family":"Amato","given":"Katherine R."},{"family":"Andras","given":"Jason"},{"family":"Angenent","given":"Largus T."},{"family":"Antonopoulos","given":"Dionysios A."},{"family":"Apprill","given":"Amy"},{"family":"Armitage","given":"David"},{"family":"Ballantine","given":"Kate"},{"family":"Bárta","given":"Jiří"},{"family":"Baum","given":"Julia K."},{"family":"Berry","given":"Allison"},{"family":"Bhatnagar","given":"Ashish"},{"family":"Bhatnagar","given":"Monica"},{"family":"Biddle","given":"Jennifer F."},{"family":"Bittner","given":"Lucie"},{"family":"Boldgiv","given":"Bazartseren"},{"family":"Bottos","given":"Eric"},{"family":"Boyer","given":"Donal M."},{"family":"Braun","given":"Josephine"},{"family":"Brazelton","given":"William"},{"family":"Brearley","given":"Francis Q."},{"family":"Campbell","given":"Alexandra H."},{"family":"Caporaso","given":"J. Gregory"},{"family":"Cardona","given":"Cesar"},{"family":"Carroll","given":"Jo Lynn"},{"family":"Cary","given":"S. Craig"},{"family":"Casper","given":"Brenda B."},{"family":"Charles","given":"Trevor C."},{"family":"Chu","given":"Haiyan"},{"family":"Claar","given":"Danielle C."},{"family":"Clark","given":"Robert G."},{"family":"Clayton","given":"Jonathan B."},{"family":"Clemente","given":"Jose C."},{"family":"Cochran","given":"Alyssa"},{"family":"Coleman","given":"Maureen L."},{"family":"Collins","given":"Gavin"},{"family":"Colwell","given":"Rita R."},{"family":"Contreras","given":"Mónica"},{"family":"Crary","given":"Benjamin B."},{"family":"Creer","given":"Simon"},{"family":"Cristol","given":"Daniel A."},{"family":"Crump","given":"Byron C."},{"family":"Cui","given":"Duoying"},{"family":"Daly","given":"Sarah E."},{"family":"Davalos","given":"Liliana"},{"family":"Dawson","given":"Russell D."},{"family":"Defazio","given":"Jennifer"},{"family":"Delsuc","given":"Frédéric"},{"family":"Dionisi","given":"Hebe M."},{"family":"Dominguez-Bello","given":"Maria Gloria"},{"family":"Dowell","given":"Robin"},{"family":"Dubinsky","given":"Eric A."},{"family":"Dunn","given":"Peter O."},{"family":"Ercolini","given":"Danilo"},{"family":"Espinoza","given":"Robert E."},{"family":"Ezenwa","given":"Vanessa O"},{"family":"Fenner","given":"Nathalie"},{"family":"Findlay","given":"Helen S."},{"family":"Fleming","given":"Irma D."},{"family":"Fogliano","given":"Vincenzo"},{"family":"Forsman","given":"Anna"},{"family":"Freeman","given":"Chris"},{"family":"Friedman","given":"Elliot S."},{"family":"Galindo","given":"Giancarlo"},{"family":"Garcia","given":"Liza"},{"family":"Garcia-Amado","given":"Maria Alexandra"},{"family":"Garshelis","given":"David"},{"family":"Gasser","given":"Robin B."},{"family":"Gerdts","given":"Gunnar"},{"family":"Gibson","given":"Molly K."},{"family":"Gifford","given":"Isaac"},{"family":"Gill","given":"Ryan T."},{"family":"Giray","given":"Tugrul"},{"family":"Gittel","given":"Antje"},{"family":"Golyshin","given":"Peter N."},{"family":"Gong","given":"Donglai"},{"family":"Grossart","given":"Hans-Peter"},{"family":"Guyton","given":"Kristina"},{"family":"Haig","given":"Sarah Jane"},{"family":"Hale","given":"Vanessa"},{"family":"Hall","given":"Ross Stephen"},{"family":"Hallam","given":"Steven J."},{"family":"Handley","given":"Kim M."},{"family":"Hasan","given":"Nur A."},{"family":"Haydon","given":"Shane R."},{"family":"Hickman","given":"Jonathan E."},{"family":"Hidalgo","given":"Glida"},{"family":"Hofmockel","given":"Kirsten S."},{"family":"Hooker","given":"Jeff"},{"family":"Hulth","given":"Stefan"},{"family":"Hultman","given":"Jenni"},{"family":"Hyde","given":"Embriette R."},{"family":"Ibáñez-Álamo","given":"Juan Diego"},{"family":"Jastrow","given":"Julie D."},{"family":"Jex","given":"Aaron R."},{"family":"Johnson","given":"L. Scott"},{"family":"Johnston","given":"Eric R."},{"family":"Joseph","given":"Stephen"},{"family":"Jurburg","given":"Stephanie D."},{"family":"Jurelevicius","given":"Diogo"},{"family":"Karlsson","given":"Anders"},{"family":"Karlsson","given":"Roger"},{"family":"Kauppinen","given":"Seth"},{"family":"Kellogg","given":"Colleen T.E."},{"family":"Kennedy","given":"Suzanne J."},{"family":"Kerkhof","given":"Lee J."},{"family":"King","given":"Gary M."},{"family":"Kling","given":"George W."},{"family":"Koehler","given":"Anson V."},{"family":"Krezalek","given":"Monika"},{"family":"Kueneman","given":"Jordan"},{"family":"Lamendella","given":"Regina"},{"family":"Landon","given":"Emily M."},{"family":"Lanede Graaf","given":"Kelly"},{"family":"LaRoche","given":"Julie"},{"family":"Larsen","given":"Peter"},{"family":"Laverock","given":"Bonnie"},{"family":"Lax","given":"Simon"},{"family":"Lentino","given":"Miguel"},{"family":"Levin","given":"Iris I."},{"family":"Liancourt","given":"Pierre"},{"family":"Liang","given":"Wenju"},{"family":"Linz","given":"Alexandra M."},{"family":"Lipson","given":"David A."},{"family":"Liu","given":"Yongqin"},{"family":"Lladser","given":"Manuel E."},{"family":"Lozada","given":"Mariana"},{"family":"Spirito","given":"Catherine M."},{"family":"MacCormack","given":"Walter P."},{"family":"MacRae-Crerar","given":"Aurora"},{"family":"Magris","given":"Magda"},{"family":"Martín-Platero","given":"Antonio M."},{"family":"Martín-Vivaldi","given":"Manuel"},{"family":"Martínez","given":"L. Margarita"},{"family":"Martínez-Bueno","given":"Manuel"},{"family":"Marzinelli","given":"Ezequiel M."},{"family":"Mason","given":"Olivia U."},{"family":"Mayer","given":"Gregory D."},{"family":"McDevitt-Irwin","given":"Jamie M."},{"family":"McDonald","given":"James E."},{"family":"McGuire","given":"Krista L."},{"family":"McMahon","given":"Katherine D."},{"family":"McMinds","given":"Ryan"},{"family":"Medina","given":"Mónica"},{"family":"Mendelson","given":"Joseph R."},{"family":"Metcalf","given":"Jessica L."},{"family":"Meyer","given":"Folker"},{"family":"Michelangeli","given":"Fabian"},{"family":"Miller","given":"Kim"},{"family":"Mills","given":"David A."},{"family":"Minich","given":"Jeremiah"},{"family":"Mocali","given":"Stefano"},{"family":"Moitinho-Silva","given":"Lucas"},{"family":"Moore","given":"Anni"},{"family":"Morgan-Kiss","given":"Rachael M."},{"family":"Munroe","given":"Paul"},{"family":"Myrold","given":"David"},{"family":"Neufeld","given":"Josh D."},{"family":"Ni","given":"Yingying"},{"family":"Nicol","given":"Graeme W."},{"family":"Nielsen","given":"Shaun"},{"family":"Nissimov","given":"Jozef I."},{"family":"Niu","given":"Kefeng"},{"family":"Nolan","given":"Matthew J."},{"family":"Noyce","given":"Karen"},{"family":"O'Brien","given":"Sarah L."},{"family":"Okamoto","given":"Noriko"},{"family":"Orlando","given":"Ludovic"},{"family":"Castellano","given":"Yadira Ortiz"},{"family":"Osuolale","given":"Olayinka"},{"family":"Oswald","given":"Wyatt"},{"family":"Parnell","given":"Jacob"},{"family":"Peralta-Sánchez","given":"Juan M."},{"family":"Petraitis","given":"Peter"},{"family":"Pfister","given":"Catherine"},{"family":"Pilon-Smits","given":"Elizabeth"},{"family":"Piombino","given":"Paola"},{"family":"Pointing","given":"Stephen B."},{"family":"Pollock","given":"F. Joseph"},{"family":"Potter","given":"Caitlin"},{"family":"Prithiviraj","given":"Bharath"},{"family":"Quince","given":"Christopher"},{"family":"Rani","given":"Asha"},{"family":"Ranjan","given":"Ravi"},{"family":"Rao","given":"Subramanya"},{"family":"Rees","given":"Andrew P."},{"family":"Richardson","given":"Miles"},{"family":"Riebesell","given":"Ulf"},{"family":"Robinson","given":"Carol"},{"family":"Rockne","given":"Karl J."},{"family":"Rodriguezl","given":"Selena Marie"},{"family":"Rohwer","given":"Forest"},{"family":"Roundstone","given":"Wayne"},{"family":"Safran","given":"Rebecca J."},{"family":"Sangwan","given":"Naseer"},{"family":"Sanz","given":"Virginia"},{"family":"Schrenk","given":"Matthew"},{"family":"Schrenzel","given":"Mark D."},{"family":"Scott","given":"Nicole M."},{"family":"Seger","given":"Rita L."},{"family":"Seguinorlando","given":"Andaine"},{"family":"Seldin","given":"Lucy"},{"family":"Seyler","given":"Lauren M."},{"family":"Shakhsheer","given":"Baddr"},{"family":"Sheets","given":"Gabriela M."},{"family":"Shen","given":"Congcong"},{"family":"Shi","given":"Yu"},{"family":"Shin","given":"Hakdong"},{"family":"Shogan","given":"Benjamin D."},{"family":"Shutler","given":"Dave"},{"family":"Siegel","given":"Jeffrey A."},{"family":"Simmons","given":"Steve"},{"family":"Sjöling","given":"Sara"},{"family":"Smith","given":"Daniel P."},{"family":"Soler","given":"Juan J."},{"family":"Sperling","given":"Martin"},{"family":"Steinberg","given":"Peter D."},{"family":"Stephens","given":"Brent"},{"family":"Stevens","given":"Melita A."},{"family":"Taghavi","given":"Safiyh"},{"family":"Tai","given":"Vera"},{"family":"Tait","given":"Karen"},{"family":"Tan","given":"Chia L."},{"family":"Taş","given":"Neslihan"},{"family":"Taylor","given":"D. Lee"},{"family":"Thomas","given":"Torsten"},{"family":"Timling","given":"Ina"},{"family":"Turner","given":"Benjamin L."},{"family":"Urich","given":"Tim"},{"family":"Ursell","given":"Luke K."},{"family":"Van Der Lelie","given":"Daniel"},{"family":"Van Treuren","given":"William"},{"family":"Van Zwieten","given":"Lukas"},{"family":"Vargas-Robles","given":"Daniela"},{"family":"Thurber","given":"Rebecca Vega"},{"family":"Vitaglione","given":"Paola"},{"family":"Walker","given":"Donald A."},{"family":"Walters","given":"William A."},{"family":"Wang","given":"Shi"},{"family":"Wang","given":"Tao"},{"family":"Weaver","given":"Tom"},{"family":"Webster","given":"Nicole S."},{"family":"Wehrle","given":"Beck"},{"family":"Weisenhorn","given":"Pamela"},{"family":"Weiss","given":"Sophie"},{"family":"Werner","given":"Jeffrey J."},{"family":"West","given":"Kristin"},{"family":"Whitehead","given":"Andrew"},{"family":"Whitehead","given":"Susan R."},{"family":"Whittingham","given":"Linda A."},{"family":"Willerslev","given":"Eske"},{"family":"Williams","given":"Allison E."},{"family":"Wood","given":"Stephen A."},{"family":"Woodhams","given":"Douglas C."},{"family":"Yang","given":"Yeqin"},{"family":"Zaneveld","given":"Jesse"},{"family":"Zarraonaindia","given":"Iratxe"},{"family":"Zhang","given":"Qikun"},{"family":"Zhao","given":"Hongxia"}],"issued":{"date-parts":[["2017"]]},"citation-key":"thompson2017"}},{"id":8999,"uris":["http://zotero.org/users/9359754/items/6G6EJ6U8"],"itemData":{"id":8999,"type":"article-journal","abstract":"Aim Organisms on our planet form spatially congruent and functionally distinct communities, which at large geographical scales are called “biomes”. Understanding their pattern and function is vital for sustainable use and protection of biodiversity. Current global terrestrial biome classifications are based primarily on climate characteristics and functional aspects of plant community assembly. These and other existing biome schemes do not take account of soil organisms, including highly diverse and functionally important microbial groups. We aimed to define large-scale structure in the diversity of soil microbes (soil microbiomes), pinpoint the environmental drivers shaping it and identify resemblance and mismatch with existing terrestrial biome schemes. Location Global. Time period Current. Major taxa studied Soil eukaryotes and prokaryotes. Methods We collected soil samples from natural environments world-wide, incorporating most known terrestrial biomes. We used high-throughput sequencing to characterize soil biotic communities and k-means clustering to define soil microbiomes describing the diversity of microbial eukaryotic and prokaryotic groups. We used climatic data and soil variables measured in the field to identify the environmental variables shaping soil microbiome structure. Results We recorded strong correlations among fungal, bacterial, archaeal, plant and animal communities, defined a system of global soil microbiomes (producing seven biome types for microbial eukaryotes and six biome types for prokaryotes) and showed that these are typically structured by pH alongside temperature. None of the soil microbiomes are directly paralleled by any current terrestrial biome scheme, with mismatch most substantial for prokaryotes and for microbial eukaryotes in cold climates; nor do they consistently distinguish grassland and forest ecosystems. Main conclusions Existing terrestrial biome classifications represent a limited surrogate for the large-scale diversity patterns of microbial soil organisms. We show that empirically defined soil microbiomes are attainable using metabarcoding and statistical clustering approaches and suggest that they can have wide application in theoretical and applied biodiversity research.","container-title":"Global Ecology and Biogeography","DOI":"10.1111/geb.13487","ISSN":"1466-8238","issue":"6","language":"en","license":"© 2022 John Wiley &amp; Sons Ltd","note":"_eprint: https://onlinelibrary.wiley.com/doi/pdf/10.1111/geb.13487","page":"1120-1132","source":"Wiley Online Library","title":"Global soil microbiomes: A new frontline of biome-ecology research","title-short":"Global soil microbiomes","volume":"31","author":[{"family":"Vasar","given":"Martti"},{"family":"Davison","given":"John"},{"family":"Sepp","given":"Siim-Kaarel"},{"family":"Mucina","given":"Ladislav"},{"family":"Oja","given":"Jane"},{"family":"Al-Quraishy","given":"Saleh"},{"family":"Anslan","given":"Sten"},{"family":"Bahram","given":"Mohammad"},{"family":"Bueno","given":"C. Guillermo"},{"family":"Cantero","given":"Juan José"},{"family":"Decocq","given":"Guillaume"},{"family":"Fraser","given":"Lauchlan"},{"family":"Hiiesalu","given":"Inga"},{"family":"Hozzein","given":"Wael N."},{"family":"Koorem","given":"Kadri"},{"family":"Meng","given":"Yiming"},{"family":"Moora","given":"Mari"},{"family":"Onipchenko","given":"Vladimir"},{"family":"Öpik","given":"Maarja"},{"family":"Pärtel","given":"Meelis"},{"family":"Vahter","given":"Tanel"},{"family":"Tedersoo","given":"Leho"},{"family":"Zobel","given":"Martin"}],"issued":{"date-parts":[["2022"]]},"citation-key":"vasar2022"}}],"schema":"https://github.com/citation-style-language/schema/raw/master/csl-citation.json"} </w:instrText>
      </w:r>
      <w:r w:rsidR="00304F9F">
        <w:fldChar w:fldCharType="separate"/>
      </w:r>
      <w:r w:rsidR="00304F9F">
        <w:rPr>
          <w:noProof/>
        </w:rPr>
        <w:t>(Qin et al., 2021; Thompson et al., 2017; Vasar et al., 2022)</w:t>
      </w:r>
      <w:r w:rsidR="00304F9F">
        <w:fldChar w:fldCharType="end"/>
      </w:r>
      <w:r w:rsidR="00304F9F">
        <w:t>.</w:t>
      </w:r>
      <w:r w:rsidRPr="00653EF3">
        <w:t xml:space="preserve"> Despite its popularity, amplicon sequencing data can be challenging to interpret due to technical variability introduced during sample collection, DNA extraction, amplification, and sequencing. These challenges are particularly acute in </w:t>
      </w:r>
      <w:r w:rsidR="0069180C">
        <w:t xml:space="preserve">studies of the </w:t>
      </w:r>
      <w:r w:rsidR="00417F07">
        <w:t xml:space="preserve">environmental microbiome, </w:t>
      </w:r>
      <w:r w:rsidR="0069180C">
        <w:t xml:space="preserve">which can include many rare taxa </w:t>
      </w:r>
      <w:r w:rsidR="00304F9F">
        <w:fldChar w:fldCharType="begin"/>
      </w:r>
      <w:r w:rsidR="00304F9F">
        <w:instrText xml:space="preserve"> ADDIN ZOTERO_ITEM CSL_CITATION {"citationID":"NfohqbQn","properties":{"formattedCitation":"(Sogin et al., 2006)","plainCitation":"(Sogin et al., 2006)","noteIndex":0},"citationItems":[{"id":9001,"uris":["http://zotero.org/users/9359754/items/3ZH26ZYD"],"itemData":{"id":9001,"type":"article-journal","abstract":"The evolution of marine microbes over billions of years predicts that the composition of microbial communities should be much greater than the published estimates of a few thousand distinct kinds of microbes per liter of seawater. By adopting a massively parallel tag sequencing strategy, we show that bacterial communities of deep water masses of the North Atlantic and diffuse flow hydrothermal vents are one to two orders of magnitude more complex than previously reported for any microbial environment. A relatively small number of different populations dominate all samples, but thousands of low-abundance populations account for most of the observed phylogenetic diversity. This “rare biosphere” is very ancient and may represent a nearly inexhaustible source of genomic innovation. Members of the rare biosphere are highly divergent from each other and, at different times in earth's history, may have had a profound impact on shaping planetary processes.","container-title":"Proceedings of the National Academy of Sciences","DOI":"10.1073/pnas.0605127103","issue":"32","note":"publisher: Proceedings of the National Academy of Sciences","page":"12115-12120","source":"pnas.org (Atypon)","title":"Microbial diversity in the deep sea and the underexplored “rare biosphere”","volume":"103","author":[{"family":"Sogin","given":"Mitchell L."},{"family":"Morrison","given":"Hilary G."},{"family":"Huber","given":"Julie A."},{"family":"Welch","given":"David Mark"},{"family":"Huse","given":"Susan M."},{"family":"Neal","given":"Phillip R."},{"family":"Arrieta","given":"Jesus M."},{"family":"Herndl","given":"Gerhard J."}],"issued":{"date-parts":[["2006",8,8]]},"citation-key":"sogin2006"}}],"schema":"https://github.com/citation-style-language/schema/raw/master/csl-citation.json"} </w:instrText>
      </w:r>
      <w:r w:rsidR="00304F9F">
        <w:fldChar w:fldCharType="separate"/>
      </w:r>
      <w:r w:rsidR="00304F9F">
        <w:rPr>
          <w:noProof/>
        </w:rPr>
        <w:t>(Sogin et al., 2006)</w:t>
      </w:r>
      <w:r w:rsidR="00304F9F">
        <w:fldChar w:fldCharType="end"/>
      </w:r>
      <w:r w:rsidR="0069180C">
        <w:t>, as well as</w:t>
      </w:r>
      <w:r w:rsidR="00417F07">
        <w:t xml:space="preserve"> </w:t>
      </w:r>
      <w:r w:rsidRPr="00653EF3">
        <w:t>studies that include multiple sample types, sequencing batches, or preparation protocols, as such heterogeneity can obscure biological signals</w:t>
      </w:r>
      <w:r w:rsidR="00304F9F">
        <w:t xml:space="preserve"> </w:t>
      </w:r>
      <w:r w:rsidR="00304F9F">
        <w:fldChar w:fldCharType="begin"/>
      </w:r>
      <w:r w:rsidR="00304F9F">
        <w:instrText xml:space="preserve"> ADDIN ZOTERO_ITEM CSL_CITATION {"citationID":"Fiqf925S","properties":{"formattedCitation":"(Qin et al., 2021)","plainCitation":"(Qin et al., 2021)","noteIndex":0},"citationItems":[{"id":8997,"uris":["http://zotero.org/users/9359754/items/FEC2HZPD"],"itemData":{"id":8997,"type":"article-journal","abstract":"Soil microbial communities play critical roles in various ecosystem processes, but studies at a large spatial and temporal scale have been challenging due to the difficulty in finding the relevant samples in available data sets as well as the lack of standardization in sample collection and processing. The National Ecological Observatory Network (NEON) has been collecting soil microbial community data multiple times per year for 47 terrestrial sites in 20 eco-climatic domains, producing one of the most extensive standardized sampling efforts for soil microbial biodiversity to date. Here, we introduce the neonMicrobe R package—a suite of downloading, preprocessing, data set assembly, and sensitivity analysis tools for NEON’s newly published 16S and ITS amplicon sequencing data products which characterize soil bacterial and fungal communities, respectively. neonMicrobe is designed to make these data more accessible to ecologists without assuming prior experience with bioinformatic pipelines. We describe quality control steps used to remove quality-flagged samples, report on sensitivity analyses used to determine appropriate quality filtering parameters for the DADA2 workflow, and demonstrate the immediate usability of the output data by conducting standard analyses of soil microbial diversity. The sequence abundance tables produced by neonMicrobe can be linked to NEON’s other data products (e.g., soil physical and chemical properties, plant community composition) and soil subsamples archived in the NEON Biorepository. We provide recommendations for incorporating neonMicrobe into reproducible scientific workflows, discuss technical considerations for large-scale amplicon sequence analysis, and outline future directions for NEON-enabled microbial ecology. In particular, we believe that NEON marker gene sequence data will allow researchers to answer outstanding questions about the spatial and temporal dynamics of soil microbial communities while explicitly accounting for scale dependence. We expect that the data produced by NEON and the neonMicrobe R package will act as a valuable ecological baseline to inform and contextualize future experimental and modeling endeavors.","container-title":"Ecosphere","DOI":"10.1002/ecs2.3842","ISSN":"2150-8925","issue":"11","language":"en","license":"© 2021 The Authors. Ecosphere published by Wiley Periodicals LLC on behalf of The Ecological Society of America.","note":"_eprint: https://esajournals.onlinelibrary.wiley.com/doi/pdf/10.1002/ecs2.3842","page":"e03842","source":"Wiley Online Library","title":"From DNA sequences to microbial ecology: Wrangling NEON soil microbe data with the neonMicrobe R package","title-short":"From DNA sequences to microbial ecology","volume":"12","author":[{"family":"Qin","given":"Clara"},{"family":"Bartelme","given":"Ryan"},{"family":"Chung","given":"Y. Anny"},{"family":"Fairbanks","given":"Dawson"},{"family":"Lin","given":"Yang"},{"family":"Liptzin","given":"Daniel"},{"family":"Muscarella","given":"Chance"},{"family":"Naithani","given":"Kusum"},{"family":"Peay","given":"Kabir"},{"family":"Pellitier","given":"Peter"},{"family":"St. Rose","given":"Ayanna"},{"family":"Stanish","given":"Lee"},{"family":"Werbin","given":"Zoey"},{"family":"Zhu","given":"Kai"}],"issued":{"date-parts":[["2021"]]},"citation-key":"qin2021"}}],"schema":"https://github.com/citation-style-language/schema/raw/master/csl-citation.json"} </w:instrText>
      </w:r>
      <w:r w:rsidR="00304F9F">
        <w:fldChar w:fldCharType="separate"/>
      </w:r>
      <w:r w:rsidR="00304F9F">
        <w:rPr>
          <w:noProof/>
        </w:rPr>
        <w:t>(Qin et al., 2021)</w:t>
      </w:r>
      <w:r w:rsidR="00304F9F">
        <w:fldChar w:fldCharType="end"/>
      </w:r>
      <w:r w:rsidR="00304F9F">
        <w:t>.</w:t>
      </w:r>
    </w:p>
    <w:p w14:paraId="1E7E9005" w14:textId="4BDE5F2B" w:rsidR="005C5D4F" w:rsidRDefault="00653EF3" w:rsidP="0063205A">
      <w:pPr>
        <w:spacing w:line="480" w:lineRule="auto"/>
        <w:ind w:firstLine="720"/>
      </w:pPr>
      <w:r w:rsidRPr="00653EF3">
        <w:t xml:space="preserve">To address these issues, we developed a reproducible amplicon sequence </w:t>
      </w:r>
      <w:r w:rsidR="002C25D0">
        <w:t>quality control and data processing</w:t>
      </w:r>
      <w:r w:rsidR="0069180C">
        <w:t xml:space="preserve"> </w:t>
      </w:r>
      <w:r w:rsidRPr="00653EF3">
        <w:t>workflow that integrates established</w:t>
      </w:r>
      <w:r w:rsidR="0069180C">
        <w:t>, freely available</w:t>
      </w:r>
      <w:r w:rsidRPr="00653EF3">
        <w:t xml:space="preserve"> bioinformatics and statistical tools</w:t>
      </w:r>
      <w:r w:rsidR="002C25D0">
        <w:t xml:space="preserve"> to generate tables of microbial taxa and functional groups for downstream visualization and statistical analyses</w:t>
      </w:r>
      <w:r w:rsidRPr="00653EF3">
        <w:t xml:space="preserve">. Our approach </w:t>
      </w:r>
      <w:r w:rsidR="00CA1A10">
        <w:t>wa</w:t>
      </w:r>
      <w:r w:rsidRPr="00653EF3">
        <w:t xml:space="preserve">s designed to </w:t>
      </w:r>
      <w:r w:rsidR="00CA1A10">
        <w:t>clean</w:t>
      </w:r>
      <w:r w:rsidR="00A520E6">
        <w:t>, normalize, and annotate</w:t>
      </w:r>
      <w:r w:rsidR="00CA1A10">
        <w:t xml:space="preserve"> </w:t>
      </w:r>
      <w:r w:rsidR="00A520E6">
        <w:t xml:space="preserve">DNA sequences </w:t>
      </w:r>
      <w:r w:rsidR="00301451">
        <w:t xml:space="preserve">– or reads – generated </w:t>
      </w:r>
      <w:r w:rsidR="00A520E6">
        <w:t>via high-throughput sequencing of multiple types of PCR amplicons from whole microbial communities in</w:t>
      </w:r>
      <w:r w:rsidR="00CA1A10">
        <w:t xml:space="preserve"> multiple tree-associated microbiomes</w:t>
      </w:r>
      <w:r w:rsidR="00A520E6">
        <w:t>. However, the protocol</w:t>
      </w:r>
      <w:r w:rsidR="00CA1A10">
        <w:t xml:space="preserve"> can be used to combine datasets from </w:t>
      </w:r>
      <w:r w:rsidR="002C25D0">
        <w:t>different</w:t>
      </w:r>
      <w:r w:rsidR="002C25D0" w:rsidRPr="00653EF3">
        <w:t xml:space="preserve"> </w:t>
      </w:r>
      <w:r w:rsidRPr="00653EF3">
        <w:t>environmental microbiomes across habitats</w:t>
      </w:r>
      <w:r w:rsidR="00CA1A10">
        <w:t xml:space="preserve"> or with different DNA extraction and PCR amplification protocols</w:t>
      </w:r>
      <w:r w:rsidRPr="00653EF3">
        <w:t xml:space="preserve">. The protocol builds on the </w:t>
      </w:r>
      <w:r w:rsidRPr="0063205A">
        <w:t>BU16S</w:t>
      </w:r>
      <w:r w:rsidR="00A25D7D" w:rsidRPr="0063205A">
        <w:t>-ITS</w:t>
      </w:r>
      <w:r w:rsidRPr="00653EF3">
        <w:t xml:space="preserve"> pipeline for </w:t>
      </w:r>
      <w:r w:rsidR="00384514">
        <w:t xml:space="preserve">amplicon </w:t>
      </w:r>
      <w:r w:rsidRPr="00653EF3">
        <w:t xml:space="preserve">sequence variant </w:t>
      </w:r>
      <w:r w:rsidR="00384514">
        <w:t xml:space="preserve">(ASV) </w:t>
      </w:r>
      <w:r w:rsidRPr="00653EF3">
        <w:t>calling and taxonomy assignment</w:t>
      </w:r>
      <w:r w:rsidR="00304F9F">
        <w:t xml:space="preserve"> </w:t>
      </w:r>
      <w:r w:rsidR="00304F9F">
        <w:fldChar w:fldCharType="begin"/>
      </w:r>
      <w:r w:rsidR="00304F9F">
        <w:instrText xml:space="preserve"> ADDIN ZOTERO_ITEM CSL_CITATION {"citationID":"pGMKWpok","properties":{"formattedCitation":"(Silverstein et al., 2024)","plainCitation":"(Silverstein et al., 2024)","noteIndex":0},"citationItems":[{"id":6464,"uris":["http://zotero.org/users/9359754/items/93ZWZWQF"],"itemData":{"id":6464,"type":"article-journal","container-title":"Nature Ecology &amp; Evolution","DOI":"10.1038/s41559-024-02440-6","ISSN":"2397-334X","issue":"8","journalAbbreviation":"Nat Ecol Evol","language":"en","page":"1493-1504","source":"DOI.org (Crossref)","title":"Metabolic complexity drives divergence in microbial communities","volume":"8","author":[{"family":"Silverstein","given":"Michael R."},{"family":"Bhatnagar","given":"Jennifer M."},{"family":"Segrè","given":"Daniel"}],"issued":{"date-parts":[["2024",7,2]]},"citation-key":"silverstein2024"}}],"schema":"https://github.com/citation-style-language/schema/raw/master/csl-citation.json"} </w:instrText>
      </w:r>
      <w:r w:rsidR="00304F9F">
        <w:fldChar w:fldCharType="separate"/>
      </w:r>
      <w:r w:rsidR="00304F9F">
        <w:rPr>
          <w:noProof/>
        </w:rPr>
        <w:t>(Silverstein et al., 2024)</w:t>
      </w:r>
      <w:r w:rsidR="00304F9F">
        <w:fldChar w:fldCharType="end"/>
      </w:r>
      <w:r w:rsidRPr="00653EF3">
        <w:t xml:space="preserve"> and incorporates additional steps in R for</w:t>
      </w:r>
      <w:r w:rsidR="0026217D">
        <w:t>: (a)</w:t>
      </w:r>
      <w:r w:rsidRPr="00653EF3">
        <w:t xml:space="preserve"> filtering</w:t>
      </w:r>
      <w:r w:rsidR="005E288C">
        <w:t xml:space="preserve"> out samples that have low </w:t>
      </w:r>
      <w:r w:rsidR="0026217D">
        <w:t>read numbers</w:t>
      </w:r>
      <w:r w:rsidRPr="00653EF3">
        <w:t xml:space="preserve">, </w:t>
      </w:r>
      <w:r w:rsidR="0026217D">
        <w:t xml:space="preserve">(b) </w:t>
      </w:r>
      <w:r w:rsidRPr="00653EF3">
        <w:t xml:space="preserve">contaminant identification </w:t>
      </w:r>
      <w:r w:rsidR="0026217D">
        <w:t>and removal</w:t>
      </w:r>
      <w:r w:rsidRPr="00653EF3">
        <w:t xml:space="preserve">, </w:t>
      </w:r>
      <w:r w:rsidR="0026217D">
        <w:t xml:space="preserve">(c) </w:t>
      </w:r>
      <w:r w:rsidRPr="00653EF3">
        <w:t>correction</w:t>
      </w:r>
      <w:r w:rsidR="002F7B80">
        <w:t xml:space="preserve"> for samples analyzed on different sequencing runs (i.e., batch correction)</w:t>
      </w:r>
      <w:r w:rsidRPr="00653EF3">
        <w:t xml:space="preserve">, and </w:t>
      </w:r>
      <w:r w:rsidR="0026217D">
        <w:t xml:space="preserve">(d) data </w:t>
      </w:r>
      <w:r w:rsidRPr="00653EF3">
        <w:t>transformations</w:t>
      </w:r>
      <w:r w:rsidR="00ED455F">
        <w:t xml:space="preserve"> for comparisons of </w:t>
      </w:r>
      <w:r w:rsidR="0026217D">
        <w:t>microbiomes</w:t>
      </w:r>
      <w:r w:rsidR="00ED455F">
        <w:t xml:space="preserve"> across samples</w:t>
      </w:r>
      <w:r w:rsidRPr="00653EF3">
        <w:t xml:space="preserve">. </w:t>
      </w:r>
      <w:r w:rsidRPr="00653EF3">
        <w:lastRenderedPageBreak/>
        <w:t xml:space="preserve">We also provide methods for calculating </w:t>
      </w:r>
      <w:r w:rsidR="00D02922">
        <w:t xml:space="preserve">popular microbial </w:t>
      </w:r>
      <w:r w:rsidRPr="00653EF3">
        <w:t xml:space="preserve">diversity metrics and assigning taxa to </w:t>
      </w:r>
      <w:r w:rsidR="00E50F94">
        <w:t>“</w:t>
      </w:r>
      <w:r w:rsidRPr="00653EF3">
        <w:t>functional guilds</w:t>
      </w:r>
      <w:r w:rsidR="00E50F94">
        <w:t>” that have different primary resources and/or ecological roles in a community</w:t>
      </w:r>
      <w:r w:rsidRPr="00653EF3">
        <w:t>, including pathogens and nutrient cyclers.</w:t>
      </w:r>
      <w:r w:rsidR="00CA1A10">
        <w:t xml:space="preserve"> </w:t>
      </w:r>
      <w:r w:rsidRPr="00653EF3">
        <w:t xml:space="preserve">By following this protocol, researchers can </w:t>
      </w:r>
      <w:r w:rsidR="001874E2">
        <w:t>quality control</w:t>
      </w:r>
      <w:r w:rsidR="001874E2" w:rsidRPr="00653EF3">
        <w:t xml:space="preserve"> </w:t>
      </w:r>
      <w:r w:rsidRPr="00653EF3">
        <w:t xml:space="preserve">and </w:t>
      </w:r>
      <w:r w:rsidR="00284AAE">
        <w:t>normalize</w:t>
      </w:r>
      <w:r w:rsidR="00284AAE" w:rsidRPr="00653EF3">
        <w:t xml:space="preserve"> </w:t>
      </w:r>
      <w:r w:rsidRPr="00653EF3">
        <w:t>amplicon datasets for improved interpretability and comparability</w:t>
      </w:r>
      <w:r w:rsidR="00284AAE">
        <w:t xml:space="preserve"> across samples</w:t>
      </w:r>
      <w:r w:rsidRPr="00653EF3">
        <w:t xml:space="preserve"> in microbial ecology, environmental health, and host-microbe interaction studies.</w:t>
      </w:r>
      <w:r w:rsidR="00CA1A10">
        <w:t xml:space="preserve"> </w:t>
      </w:r>
      <w:r>
        <w:t xml:space="preserve">The code for following this protocol can be found at </w:t>
      </w:r>
      <w:r w:rsidR="00220D09" w:rsidRPr="00220D09">
        <w:t>https://github.com/k-atherton/Amplicon_Sequence_Data_Processing</w:t>
      </w:r>
      <w:r>
        <w:t xml:space="preserve">. </w:t>
      </w:r>
    </w:p>
    <w:p w14:paraId="4D2C42BF" w14:textId="77777777" w:rsidR="00F5668A" w:rsidRDefault="00F5668A" w:rsidP="00D87226">
      <w:pPr>
        <w:spacing w:line="480" w:lineRule="auto"/>
      </w:pPr>
    </w:p>
    <w:p w14:paraId="36AC3E71" w14:textId="6A566A3A" w:rsidR="00F5668A" w:rsidRPr="0078390C" w:rsidRDefault="00F5668A" w:rsidP="00D87226">
      <w:pPr>
        <w:spacing w:line="480" w:lineRule="auto"/>
        <w:rPr>
          <w:u w:val="single"/>
        </w:rPr>
      </w:pPr>
      <w:r w:rsidRPr="0078390C">
        <w:rPr>
          <w:u w:val="single"/>
        </w:rPr>
        <w:t xml:space="preserve">DNA SEQUENCE </w:t>
      </w:r>
      <w:r w:rsidR="00FE6C18" w:rsidRPr="0078390C">
        <w:rPr>
          <w:u w:val="single"/>
        </w:rPr>
        <w:t>DATA</w:t>
      </w:r>
    </w:p>
    <w:p w14:paraId="14F8760C" w14:textId="2CF5C7B8" w:rsidR="00FE6C18" w:rsidRDefault="004017D5" w:rsidP="00D87226">
      <w:pPr>
        <w:spacing w:line="480" w:lineRule="auto"/>
      </w:pPr>
      <w:r>
        <w:t xml:space="preserve">PCR amplification </w:t>
      </w:r>
      <w:r w:rsidR="00F5668A">
        <w:t>is conducted for</w:t>
      </w:r>
      <w:r>
        <w:t xml:space="preserve"> two types of ribosomal </w:t>
      </w:r>
      <w:r w:rsidR="0017348B">
        <w:t>DNA</w:t>
      </w:r>
      <w:r>
        <w:t>: the hypervariable region of the small subunit (16S</w:t>
      </w:r>
      <w:r w:rsidR="00D10152">
        <w:t xml:space="preserve"> V4</w:t>
      </w:r>
      <w:r>
        <w:t xml:space="preserve">) rRNA genes </w:t>
      </w:r>
      <w:r w:rsidR="00A8501D">
        <w:t xml:space="preserve">that are </w:t>
      </w:r>
      <w:r>
        <w:t>specific to bacteria</w:t>
      </w:r>
      <w:r w:rsidR="00CA5309">
        <w:t xml:space="preserve"> </w:t>
      </w:r>
      <w:r w:rsidR="00CA5309">
        <w:fldChar w:fldCharType="begin"/>
      </w:r>
      <w:r w:rsidR="00CA5309">
        <w:instrText xml:space="preserve"> ADDIN ZOTERO_ITEM CSL_CITATION {"citationID":"sIq0Cill","properties":{"formattedCitation":"(Caporaso et al., 2011)","plainCitation":"(Caporaso et al., 2011)","noteIndex":0},"citationItems":[{"id":1256,"uris":["http://zotero.org/users/9359754/items/NDUE87MY"],"itemData":{"id":1256,"type":"article-journal","abstract":"The ongoing revolution in high-throughput sequencing continues to democratize the ability of small groups of investigators to map the microbial component of the biosphere. In particular, the coevolution of new sequencing platforms and new software tools allows data acquisition and analysis on an unprecedented scale. Here we report the next stage in this coevolutionary arms race, using the Illumina GAIIx platform to sequence a diverse array of 25 environmental samples and three known \"mock communities\" at a depth averaging 3.1 million reads per sample. We demonstrate excellent consistency in taxonomic recovery and recapture diversity patterns that were previously reported on the basis of meta-analysis of many studies from the literature (notably, the saline/nonsaline split in environmental samples and the split between host-associated and free-living communities). We also demonstrate that 2,000 Illumina single-end reads are sufficient to recapture the same relationships among samples that we observe with the full dataset. The results thus open up the possibility of conducting large-scale studies analyzing thousands of samples simultaneously to survey microbial communities at an unprecedented spatial and temporal resolution.","container-title":"Proceedings of the National Academy of Sciences of the United States of America","DOI":"10.1073/pnas.1000080107","ISSN":"10916490","issue":"SUPPL. 1","note":"PMID: 20534432","page":"4516–4522","title":"Global patterns of 16S rRNA diversity at a depth of millions of sequences per sample","volume":"108","author":[{"family":"Caporaso","given":"J. Gregory"},{"family":"Lauber","given":"Christian L."},{"family":"Walters","given":"William Anthony"},{"family":"Berg-Lyons","given":"Donna"},{"family":"Lozupone","given":"Catherine A."},{"family":"Turnbaugh","given":"Peter J."},{"family":"Fierer","given":"Noah G."},{"family":"Knight","given":"Rob"}],"issued":{"date-parts":[["2011"]]},"citation-key":"caporaso2011"}}],"schema":"https://github.com/citation-style-language/schema/raw/master/csl-citation.json"} </w:instrText>
      </w:r>
      <w:r w:rsidR="00CA5309">
        <w:fldChar w:fldCharType="separate"/>
      </w:r>
      <w:r w:rsidR="00CA5309">
        <w:rPr>
          <w:noProof/>
        </w:rPr>
        <w:t>(Caporaso et al., 2011)</w:t>
      </w:r>
      <w:r w:rsidR="00CA5309">
        <w:fldChar w:fldCharType="end"/>
      </w:r>
      <w:r w:rsidR="00D10152">
        <w:t xml:space="preserve"> </w:t>
      </w:r>
      <w:r>
        <w:t>and the ITS</w:t>
      </w:r>
      <w:r w:rsidR="00D10152">
        <w:t>2</w:t>
      </w:r>
      <w:r>
        <w:t xml:space="preserve"> </w:t>
      </w:r>
      <w:r w:rsidR="0017348B">
        <w:t>DNA</w:t>
      </w:r>
      <w:r w:rsidR="00E50F94">
        <w:t xml:space="preserve"> </w:t>
      </w:r>
      <w:r w:rsidR="00A8501D">
        <w:t xml:space="preserve">that is </w:t>
      </w:r>
      <w:r>
        <w:t>specific to fungi</w:t>
      </w:r>
      <w:r w:rsidR="00CA5309">
        <w:t xml:space="preserve"> </w:t>
      </w:r>
      <w:r w:rsidR="00CA5309">
        <w:fldChar w:fldCharType="begin"/>
      </w:r>
      <w:r w:rsidR="00CA5309">
        <w:instrText xml:space="preserve"> ADDIN ZOTERO_ITEM CSL_CITATION {"citationID":"snOyET2Y","properties":{"formattedCitation":"(Anthony et al., 2020)","plainCitation":"(Anthony et al., 2020)","noteIndex":0},"citationItems":[{"id":9003,"uris":["http://zotero.org/users/9359754/items/2NQGP2VI"],"itemData":{"id":9003,"type":"article-journal","abstract":"The impacts of invasive species on biodiversity may be mitigated or exacerbated by abiotic environmental changes. Invasive plants can restructure soil fungal communities with important implications for native biodiversity and nutrient cycling, yet fungal responses to invasion may depend on numerous anthropogenic stressors. In this study, we experimentally invaded a long-term soil warming and simulated nitrogen deposition experiment with the widespread invasive plant Alliaria petiolata (garlic mustard) and tested the responses of soil fungal communities to invasion, abiotic factors, and their interaction. We focused on the phytotoxic garlic mustard because it suppresses native mycorrhizae across forests of North America. We found that invasion in combination with warming, but not under ambient conditions or elevated nitrogen, significantly reduced soil fungal biomass and ectomycorrhizal relative abundances and increased relative abundances of general soil saprotrophs and fungal genes encoding for hydrolytic enzymes. These results suggest that warming potentially exacerbates fungal responses to plant invasion. Soils collected from uninvaded and invaded plots across eight forests spanning a 4 °C temperature gradient further demonstrated that the magnitude of fungal responses to invasion was positively correlated with mean annual temperature. Our study is one of the first empirical tests to show that the impacts of invasion on fungal communities depends on additional anthropogenic pressures and were greater in concert with warming than under elevated nitrogen or ambient conditions.","container-title":"Oecologia","DOI":"10.1007/s00442-020-04797-4","ISSN":"1432-1939","issue":"4","journalAbbreviation":"Oecologia","language":"en","page":"659-672","source":"Springer Link","title":"Plant invasion impacts on fungal community structure and function depend on soil warming and nitrogen enrichment","volume":"194","author":[{"family":"Anthony","given":"M. A."},{"family":"Stinson","given":"K. A."},{"family":"Moore","given":"J. A. M."},{"family":"Frey","given":"S. D."}],"issued":{"date-parts":[["2020",12,1]]},"citation-key":"anthony2020"}}],"schema":"https://github.com/citation-style-language/schema/raw/master/csl-citation.json"} </w:instrText>
      </w:r>
      <w:r w:rsidR="00CA5309">
        <w:fldChar w:fldCharType="separate"/>
      </w:r>
      <w:r w:rsidR="00CA5309">
        <w:rPr>
          <w:noProof/>
        </w:rPr>
        <w:t>(Anthony et al., 2020)</w:t>
      </w:r>
      <w:r w:rsidR="00CA5309">
        <w:fldChar w:fldCharType="end"/>
      </w:r>
      <w:r>
        <w:t xml:space="preserve">. </w:t>
      </w:r>
      <w:r w:rsidR="00F5668A">
        <w:t>To generate sequence data for a single community, we multiplex both types of amplicons onto a sequencing run</w:t>
      </w:r>
      <w:r w:rsidR="00827EA8">
        <w:t xml:space="preserve">, as </w:t>
      </w:r>
      <w:r w:rsidR="006473E9">
        <w:t xml:space="preserve">this </w:t>
      </w:r>
      <w:r w:rsidR="00DC04B4">
        <w:t>tends to generate very high quality DNA sequence data for both amplicon types, potentially b</w:t>
      </w:r>
      <w:r w:rsidR="00613D00">
        <w:t xml:space="preserve">ecause the </w:t>
      </w:r>
      <w:r w:rsidR="00FF18B3">
        <w:t xml:space="preserve">sequence differences and </w:t>
      </w:r>
      <w:r w:rsidR="00613D00">
        <w:t>length differences between the ITS2 (average of 182 bp,</w:t>
      </w:r>
      <w:r w:rsidR="00CA5309">
        <w:t xml:space="preserve"> </w:t>
      </w:r>
      <w:r w:rsidR="00CA5309">
        <w:fldChar w:fldCharType="begin"/>
      </w:r>
      <w:r w:rsidR="00CA5309">
        <w:instrText xml:space="preserve"> ADDIN ZOTERO_ITEM CSL_CITATION {"citationID":"q34bHmrF","properties":{"formattedCitation":"(R.-H. Yang et al., 2018)","plainCitation":"(R.-H. Yang et al., 2018)","noteIndex":0},"citationItems":[{"id":9005,"uris":["http://zotero.org/users/9359754/items/T52C6W4X"],"itemData":{"id":9005,"type":"article-journal","abstract":"The nuclear ribosomal DNA internal transcribed spacer (ITS) has been widely used to assess the fungal composition in different environments by deep sequencing. To evaluate the ITS in the analysis of fungal diversity, comparisons of the clustering and taxonomy generated by sequencing with different portions of the whole fragment were conducted in this study. For a total of 83,120 full-length ITS sequences obtained from the UNITE database, it was found that, on average, ITS1 varied more than ITS2 within the kingdom Fungi; this variation included length and GC content variations and polymorphisms, with some polymorphisms specific to particular fungal groups. The taxonomic accuracy for ITS was higher than that for ITS1 or ITS2. The commonly used operational taxonomic unit (OTU) for evaluating fungal diversity and richness assigned several species to a single OTU even with clustering at 99.00% sequence similarity. The clustering and taxonomic capacities did not differ between ITS1 and ITS2. However, the OTU commonality between ITS1 and ITS2 was very low. To test this observation further, 219,741 pyrosequencing reads, including 39,840 full-length ITS sequences, were obtained from 10 soil samples and were clustered into OTUs. The pyrosequencing results agreed with the results of the in silico analysis. ITS1 might overestimate the fungal diversity and richness. Analyses using ITS, ITS1 and ITS2 yielded several different taxa, and the taxonomic preferences for ITS and ITS2 were similar. The results demonstrated that ITS2 alone might be a more suitable marker for revealing the operational taxonomic richness and taxonomy specifics of fungal communities when the full-length ITS is not available.","container-title":"PLoS ONE","DOI":"10.1371/journal.pone.0206428","ISSN":"1932-6203","issue":"10","journalAbbreviation":"PLoS One","note":"PMID: 30359454\nPMCID: PMC6201957","page":"e0206428","source":"PubMed Central","title":"Evaluation of the ribosomal DNA internal transcribed spacer (ITS), specifically ITS1 and ITS2, for the analysis of fungal diversity by deep sequencing","volume":"13","author":[{"family":"Yang","given":"Rui-Heng"},{"family":"Su","given":"Jin-He"},{"family":"Shang","given":"Jun-Jun"},{"family":"Wu","given":"Ying-Ying"},{"family":"Li","given":"Yan"},{"family":"Bao","given":"Da-Peng"},{"family":"Yao","given":"Yi-Jian"}],"issued":{"date-parts":[["2018",10,25]]},"citation-key":"yang2018"}}],"schema":"https://github.com/citation-style-language/schema/raw/master/csl-citation.json"} </w:instrText>
      </w:r>
      <w:r w:rsidR="00CA5309">
        <w:fldChar w:fldCharType="separate"/>
      </w:r>
      <w:r w:rsidR="00CA5309">
        <w:rPr>
          <w:noProof/>
        </w:rPr>
        <w:t>R.-H. Yang et al., 2018)</w:t>
      </w:r>
      <w:r w:rsidR="00CA5309">
        <w:fldChar w:fldCharType="end"/>
      </w:r>
      <w:r w:rsidR="00613D00">
        <w:t xml:space="preserve"> and </w:t>
      </w:r>
      <w:r w:rsidR="00FF18B3">
        <w:t xml:space="preserve">16S (~ </w:t>
      </w:r>
      <w:r w:rsidR="007C1474">
        <w:t xml:space="preserve">250-350 </w:t>
      </w:r>
      <w:r w:rsidR="00FF18B3">
        <w:t>bp,</w:t>
      </w:r>
      <w:r w:rsidR="00CA5309">
        <w:t xml:space="preserve"> </w:t>
      </w:r>
      <w:r w:rsidR="00CA5309">
        <w:fldChar w:fldCharType="begin"/>
      </w:r>
      <w:r w:rsidR="00220D09">
        <w:instrText xml:space="preserve"> ADDIN ZOTERO_ITEM CSL_CITATION {"citationID":"XoOYJT1a","properties":{"formattedCitation":"(Caporaso et al., 2023; Zhao et al., 2023)","plainCitation":"(Caporaso et al., 2023; Zhao et al., 2023)","noteIndex":0},"citationItems":[{"id":9032,"uris":["http://zotero.org/users/9359754/items/X5RJBRS6"],"itemData":{"id":9032,"type":"article-journal","abstract":"The 16S protocol detailed here is designed to amplify prokaryotes (bacteria and archaea) using paired-end 16S community sequencing on the Illumina platform. Primers 515F-806R t...","language":"en","source":"www.protocols.io","title":"EMP 16S Illumina Amplicon Protocol","URL":"https://www.protocols.io/view/emp-16s-illumina-amplicon-protocol-cpisvkee","author":[{"family":"Caporaso","given":"J. Greg"},{"family":"Ackermann","given":"Gail"},{"family":"Apprill","given":"Amy"},{"family":"Bauer","given":"Markus"},{"family":"Berg-Lyons","given":"Donna"},{"family":"Betley","given":"Jason"},{"family":"Fierer","given":"Noah"},{"family":"Fraser","given":"Louise"},{"family":"Fuhrman","given":"Jed A."},{"family":"Gilbert","given":"Jack A."},{"family":"Gormley","given":"Niall"},{"family":"Humphrey","given":"Greg"},{"family":"Huntley","given":"James"},{"family":"Jansson","given":"Janet K."},{"family":"Knight","given":"Rob"},{"family":"Lauber","given":"Chris L."},{"family":"Lozupone","given":"Catherine A."},{"family":"McNally","given":"Sean"},{"family":"Needham","given":"David M."},{"family":"Owens","given":"Sarah M."},{"family":"Parada","given":"Alma E."},{"family":"Parsons","given":"Rachel"},{"family":"Smith","given":"Geoff"},{"family":"Thompson","given":"Luke R."},{"family":"Thompson","given":"Luke"},{"family":"Turnbaugh","given":"Peter J."},{"family":"Walters","given":"William A."},{"family":"Weber","given":"Laura"}],"accessed":{"date-parts":[["2025",8,5]]},"issued":{"date-parts":[["2023",2,16]]},"citation-key":"caporaso2023"}},{"id":9034,"uris":["http://zotero.org/users/9359754/items/BI5WAUP7"],"itemData":{"id":9034,"type":"article-journal","abstract":"The advance of high-throughput molecular biology tools allows in-depth profiling of microbial communities in soils, which possess a high diversity of prokaryotic microorganisms. Amplicon-based sequencing of 16S rRNA genes is the most common approach to studying the richness and composition of soil prokaryotes. To reliably detect different taxonomic lineages of microorganisms in a single soil sample, an adequate pipeline including DNA isolation, primer selection, PCR amplification, library preparation, DNA sequencing, and bioinformatic post-processing is required. Besides DNA sequencing quality and depth, the selection of PCR primers and PCR amplification reactions arguably have the largest influence on the results. This study tested the performance and potential bias of two primer pairs, i.e., 515F (Parada)-806R (Apprill) and 515F (Parada)-926R (Quince) in the standard pipelines of 16S rRNA gene Illumina amplicon sequencing protocol developed by the Earth Microbiome Project (EMP), against shotgun metagenome-based 16S rRNA gene reads. The evaluation was conducted using five differently managed soils. We observed a higher richness of soil total prokaryotes by using reverse primer 806R compared to 926R, contradicting to in silico evaluation results. Both primer pairs revealed various degrees of taxon-specific bias compared to metagenome-derived 16S rRNA gene reads. Nonetheless, we found consistent patterns of microbial community variation associated with different land uses, irrespective of primers used. Total microbial communities, as well as ammonia oxidizing archaea (AOA), the predominant ammonia oxidizers in these soils, shifted along with increased soil pH due to agricultural management. In the unmanaged low pH plot abundance of AOA was dominated by the acid-tolerant NS-Gamma clade, whereas limed agricultural plots were dominated by neutral-alkaliphilic NS-Delta/NS-Alpha clades. This study stresses how primer selection influences community composition and highlights the importance of primer selection for comparative and integrative studies, and that conclusions must be drawn with caution if data from different sequencing pipelines are to be compared.","container-title":"Frontiers in Microbiology","DOI":"10.3389/fmicb.2023.1140487","ISSN":"1664-302X","journalAbbreviation":"Front. Microbiol.","language":"English","note":"publisher: Frontiers","source":"Frontiers","title":"Fine-scale evaluation of two standard 16S rRNA gene amplicon primer pairs for analysis of total prokaryotes and archaeal nitrifiers in differently managed soils","URL":"https://www.frontiersin.org/journals/microbiology/articles/10.3389/fmicb.2023.1140487/full","volume":"14","author":[{"family":"Zhao","given":"Jun"},{"family":"Rodriguez","given":"Jonathan"},{"family":"Martens-Habbena","given":"Willm"}],"accessed":{"date-parts":[["2025",8,5]]},"issued":{"date-parts":[["2023",2,23]]},"citation-key":"zhao2023a"}}],"schema":"https://github.com/citation-style-language/schema/raw/master/csl-citation.json"} </w:instrText>
      </w:r>
      <w:r w:rsidR="00CA5309">
        <w:fldChar w:fldCharType="separate"/>
      </w:r>
      <w:r w:rsidR="00220D09">
        <w:rPr>
          <w:rFonts w:cs="Times New Roman"/>
          <w:i/>
          <w:iCs/>
        </w:rPr>
        <w:t>Caporaso et al., 2023; Zhao et al., 2023)</w:t>
      </w:r>
      <w:r w:rsidR="00CA5309">
        <w:fldChar w:fldCharType="end"/>
      </w:r>
      <w:r w:rsidR="00FF18B3">
        <w:t xml:space="preserve"> </w:t>
      </w:r>
      <w:r w:rsidR="00DC04B4">
        <w:t>help with</w:t>
      </w:r>
      <w:r w:rsidR="00FF18B3">
        <w:t xml:space="preserve"> successful </w:t>
      </w:r>
      <w:r w:rsidR="00693A50">
        <w:t xml:space="preserve">initial </w:t>
      </w:r>
      <w:r w:rsidR="00FF18B3">
        <w:t xml:space="preserve">cluster identification </w:t>
      </w:r>
      <w:r w:rsidR="00DC04B4">
        <w:t xml:space="preserve">by the Illumina sequencing platform </w:t>
      </w:r>
      <w:r w:rsidR="00CA5309">
        <w:fldChar w:fldCharType="begin"/>
      </w:r>
      <w:r w:rsidR="00CA5309">
        <w:instrText xml:space="preserve"> ADDIN ZOTERO_ITEM CSL_CITATION {"citationID":"5Trsny9G","properties":{"formattedCitation":"(Fadrosh et al., 2014)","plainCitation":"(Fadrosh et al., 2014)","noteIndex":0},"citationItems":[{"id":9009,"uris":["http://zotero.org/users/9359754/items/2W4KX2TF"],"itemData":{"id":9009,"type":"article-journal","abstract":"To take advantage of affordable high-throughput next-generation sequencing technologies to characterize microbial community composition often requires the development of improved methods to overcome technical limitations inherent to the sequencing platforms. Sequencing low sequence diversity libraries such as 16S rRNA amplicons has been problematic on the Illumina MiSeq platform and often generates sequences of suboptimal quality.","container-title":"Microbiome","DOI":"10.1186/2049-2618-2-6","ISSN":"2049-2618","issue":"1","journalAbbreviation":"Microbiome","page":"6","source":"BioMed Central","title":"An improved dual-indexing approach for multiplexed 16S rRNA gene sequencing on the Illumina MiSeq platform","volume":"2","author":[{"family":"Fadrosh","given":"Douglas W."},{"family":"Ma","given":"Bing"},{"family":"Gajer","given":"Pawel"},{"family":"Sengamalay","given":"Naomi"},{"family":"Ott","given":"Sandra"},{"family":"Brotman","given":"Rebecca M."},{"family":"Ravel","given":"Jacques"}],"issued":{"date-parts":[["2014",2,24]]},"citation-key":"fadrosh2014"}}],"schema":"https://github.com/citation-style-language/schema/raw/master/csl-citation.json"} </w:instrText>
      </w:r>
      <w:r w:rsidR="00CA5309">
        <w:fldChar w:fldCharType="separate"/>
      </w:r>
      <w:r w:rsidR="00CA5309">
        <w:rPr>
          <w:noProof/>
        </w:rPr>
        <w:t>(Fadrosh et al., 2014)</w:t>
      </w:r>
      <w:r w:rsidR="00CA5309">
        <w:fldChar w:fldCharType="end"/>
      </w:r>
      <w:r w:rsidR="00CA5309">
        <w:t>.</w:t>
      </w:r>
      <w:r w:rsidR="00F5668A">
        <w:t xml:space="preserve"> </w:t>
      </w:r>
    </w:p>
    <w:p w14:paraId="258BF0BE" w14:textId="073255B9" w:rsidR="007D5BAA" w:rsidRDefault="007313E1" w:rsidP="0063205A">
      <w:pPr>
        <w:spacing w:line="480" w:lineRule="auto"/>
        <w:ind w:firstLine="720"/>
        <w:rPr>
          <w:u w:val="single"/>
        </w:rPr>
      </w:pPr>
      <w:r>
        <w:t xml:space="preserve">In addition, we </w:t>
      </w:r>
      <w:r w:rsidR="009D50AC">
        <w:t>avoid sequencing different experimental treatments or environmental conditions on different sequencing runs, so that we can complete batch correction (correction of sequence data for variation by sequencing run)</w:t>
      </w:r>
      <w:r w:rsidR="005F24D9">
        <w:t xml:space="preserve"> if needed</w:t>
      </w:r>
      <w:r w:rsidR="009D50AC">
        <w:t xml:space="preserve">. </w:t>
      </w:r>
      <w:r w:rsidR="005F24D9">
        <w:t>Sequencing</w:t>
      </w:r>
      <w:r w:rsidR="009D50AC">
        <w:t xml:space="preserve"> </w:t>
      </w:r>
      <w:r w:rsidR="001F2C3E">
        <w:t xml:space="preserve">samples from </w:t>
      </w:r>
      <w:r w:rsidR="005F24D9">
        <w:t xml:space="preserve">different </w:t>
      </w:r>
      <w:r w:rsidR="001F2C3E">
        <w:t>conditions</w:t>
      </w:r>
      <w:r w:rsidR="005F24D9">
        <w:t xml:space="preserve"> on the same sequencing run </w:t>
      </w:r>
      <w:r w:rsidR="009D50AC">
        <w:t>requires that we sequence replicates of a condition (e.g., urban interior forests) on different sequencing runs, so that all sequencing runs have samples representing each study condition.</w:t>
      </w:r>
      <w:r>
        <w:t xml:space="preserve"> </w:t>
      </w:r>
      <w:r w:rsidR="009D50AC">
        <w:t xml:space="preserve">To accomplish this, we </w:t>
      </w:r>
      <w:r>
        <w:t xml:space="preserve">often multiplex replicates of different </w:t>
      </w:r>
      <w:r>
        <w:lastRenderedPageBreak/>
        <w:t xml:space="preserve">“sample types” (i.e. habitats, such as soil, roots, or leaves) </w:t>
      </w:r>
      <w:r w:rsidR="009D50AC">
        <w:t xml:space="preserve">that experienced different environmental conditions </w:t>
      </w:r>
      <w:r>
        <w:t>on the same sequencing run</w:t>
      </w:r>
      <w:r w:rsidR="00830C3B">
        <w:t xml:space="preserve"> (</w:t>
      </w:r>
      <w:r w:rsidR="00957509">
        <w:t>Table</w:t>
      </w:r>
      <w:r w:rsidR="00830C3B">
        <w:t xml:space="preserve"> 1)</w:t>
      </w:r>
      <w:r>
        <w:t xml:space="preserve">. </w:t>
      </w:r>
      <w:r w:rsidR="00827EA8">
        <w:t xml:space="preserve">The </w:t>
      </w:r>
      <w:r w:rsidR="00136DD9">
        <w:t xml:space="preserve">quality control and data processing </w:t>
      </w:r>
      <w:r w:rsidR="00136DD9" w:rsidRPr="00653EF3">
        <w:t xml:space="preserve">workflow </w:t>
      </w:r>
      <w:r w:rsidR="00136DD9">
        <w:t xml:space="preserve">below </w:t>
      </w:r>
      <w:r w:rsidR="00FE6C18">
        <w:t>is optimized for</w:t>
      </w:r>
      <w:r w:rsidR="00827EA8">
        <w:t xml:space="preserve"> </w:t>
      </w:r>
      <w:r w:rsidR="009C6B21">
        <w:t xml:space="preserve">this type of </w:t>
      </w:r>
      <w:r w:rsidR="00FE6C18">
        <w:t>DNA sequence data</w:t>
      </w:r>
      <w:r w:rsidR="009C6B21">
        <w:t>,</w:t>
      </w:r>
      <w:r w:rsidR="00FE6C18">
        <w:t xml:space="preserve"> generated from multiple sample types and amplicon types </w:t>
      </w:r>
      <w:r w:rsidR="00154104">
        <w:t xml:space="preserve">sequenced </w:t>
      </w:r>
      <w:r w:rsidR="00FE6C18">
        <w:t xml:space="preserve">across Illumina MiSeq runs, but can be </w:t>
      </w:r>
      <w:r w:rsidR="00833E48">
        <w:t>applied to</w:t>
      </w:r>
      <w:r w:rsidR="00FE6C18">
        <w:t xml:space="preserve"> </w:t>
      </w:r>
      <w:r w:rsidR="00827EA8">
        <w:t>any type of DNA amplicon sequence data.</w:t>
      </w:r>
    </w:p>
    <w:p w14:paraId="57E90B7E" w14:textId="77777777" w:rsidR="00F5668A" w:rsidRDefault="00F5668A" w:rsidP="00D87226">
      <w:pPr>
        <w:spacing w:line="480" w:lineRule="auto"/>
        <w:rPr>
          <w:u w:val="single"/>
        </w:rPr>
      </w:pPr>
    </w:p>
    <w:p w14:paraId="62647E63" w14:textId="725E1126" w:rsidR="00C81151" w:rsidRDefault="00C81151" w:rsidP="00D87226">
      <w:pPr>
        <w:spacing w:line="480" w:lineRule="auto"/>
        <w:rPr>
          <w:u w:val="single"/>
        </w:rPr>
      </w:pPr>
      <w:r>
        <w:rPr>
          <w:u w:val="single"/>
        </w:rPr>
        <w:t>SOFTWARE AND DATA SETS</w:t>
      </w:r>
    </w:p>
    <w:p w14:paraId="4A81B80F" w14:textId="00973AB7" w:rsidR="00C81151" w:rsidRDefault="00C81151" w:rsidP="00D87226">
      <w:pPr>
        <w:spacing w:line="480" w:lineRule="auto"/>
        <w:rPr>
          <w:b/>
          <w:i/>
        </w:rPr>
      </w:pPr>
      <w:r>
        <w:rPr>
          <w:b/>
          <w:i/>
        </w:rPr>
        <w:t>Software</w:t>
      </w:r>
    </w:p>
    <w:p w14:paraId="4B683979" w14:textId="1E41C617" w:rsidR="00F34D69" w:rsidRDefault="00F34D69" w:rsidP="00D87226">
      <w:pPr>
        <w:pStyle w:val="ListParagraph"/>
        <w:numPr>
          <w:ilvl w:val="0"/>
          <w:numId w:val="2"/>
        </w:numPr>
        <w:spacing w:line="480" w:lineRule="auto"/>
      </w:pPr>
      <w:r>
        <w:t>BU16S</w:t>
      </w:r>
      <w:r w:rsidR="003C4E49">
        <w:t>-ITS</w:t>
      </w:r>
      <w:r>
        <w:t xml:space="preserve"> pipeline </w:t>
      </w:r>
      <w:r w:rsidR="002F2EA0">
        <w:fldChar w:fldCharType="begin"/>
      </w:r>
      <w:r w:rsidR="00ED2D87">
        <w:instrText xml:space="preserve"> ADDIN ZOTERO_ITEM CSL_CITATION {"citationID":"oTtWRT6r","properties":{"formattedCitation":"(Silverstein et al., 2024)","plainCitation":"(Silverstein et al., 2024)","dontUpdate":true,"noteIndex":0},"citationItems":[{"id":6464,"uris":["http://zotero.org/users/9359754/items/93ZWZWQF"],"itemData":{"id":6464,"type":"article-journal","container-title":"Nature Ecology &amp; Evolution","DOI":"10.1038/s41559-024-02440-6","ISSN":"2397-334X","issue":"8","journalAbbreviation":"Nat Ecol Evol","language":"en","page":"1493-1504","source":"DOI.org (Crossref)","title":"Metabolic complexity drives divergence in microbial communities","volume":"8","author":[{"family":"Silverstein","given":"Michael R."},{"family":"Bhatnagar","given":"Jennifer M."},{"family":"Segrè","given":"Daniel"}],"issued":{"date-parts":[["2024",7,2]]},"citation-key":"silverstein2024"}}],"schema":"https://github.com/citation-style-language/schema/raw/master/csl-citation.json"} </w:instrText>
      </w:r>
      <w:r w:rsidR="002F2EA0">
        <w:fldChar w:fldCharType="separate"/>
      </w:r>
      <w:r w:rsidR="002F2EA0">
        <w:rPr>
          <w:noProof/>
        </w:rPr>
        <w:t xml:space="preserve">(Silverstein et al., 2024; </w:t>
      </w:r>
      <w:r w:rsidR="007D553C" w:rsidRPr="004570DC">
        <w:t>https://github.com/Boston-University-Microbiome-Initiative/BU16s</w:t>
      </w:r>
      <w:r w:rsidR="002F2EA0">
        <w:rPr>
          <w:noProof/>
        </w:rPr>
        <w:t>)</w:t>
      </w:r>
      <w:r w:rsidR="002F2EA0">
        <w:fldChar w:fldCharType="end"/>
      </w:r>
    </w:p>
    <w:p w14:paraId="44B430AF" w14:textId="4C5CEA70" w:rsidR="00C81151" w:rsidRDefault="00F34D69" w:rsidP="00D87226">
      <w:pPr>
        <w:pStyle w:val="ListParagraph"/>
        <w:numPr>
          <w:ilvl w:val="0"/>
          <w:numId w:val="2"/>
        </w:numPr>
        <w:spacing w:line="480" w:lineRule="auto"/>
      </w:pPr>
      <w:r>
        <w:t xml:space="preserve">R </w:t>
      </w:r>
      <w:r w:rsidR="003E6F33">
        <w:fldChar w:fldCharType="begin"/>
      </w:r>
      <w:r w:rsidR="00ED2D87">
        <w:instrText xml:space="preserve"> ADDIN ZOTERO_ITEM CSL_CITATION {"citationID":"bPrM6K4g","properties":{"formattedCitation":"(R Core Team, 2013)","plainCitation":"(R Core Team, 2013)","dontUpdate":true,"noteIndex":0},"citationItems":[{"id":6501,"uris":["http://zotero.org/users/9359754/items/JZ5XN39Z"],"itemData":{"id":6501,"type":"software","event-place":"Austria","ISBN":"3-900051-07-0","publisher-place":"Austria","title":"R: A language and environment for statistical computing. R Foundation for Statistical Computing","URL":"http://www.R-project.org/","version":"4.3.1","author":[{"family":"R Core Team","given":""}],"accessed":{"date-parts":[["2024",9,8]]},"issued":{"date-parts":[["2013"]]},"citation-key":"rcoreteam2013"}}],"schema":"https://github.com/citation-style-language/schema/raw/master/csl-citation.json"} </w:instrText>
      </w:r>
      <w:r w:rsidR="003E6F33">
        <w:fldChar w:fldCharType="separate"/>
      </w:r>
      <w:r w:rsidR="003E6F33">
        <w:rPr>
          <w:noProof/>
        </w:rPr>
        <w:t>(R Core Team, 2013; version 4.3.1)</w:t>
      </w:r>
      <w:r w:rsidR="003E6F33">
        <w:fldChar w:fldCharType="end"/>
      </w:r>
    </w:p>
    <w:p w14:paraId="1D41D045" w14:textId="12FE5667" w:rsidR="00C81151" w:rsidRDefault="00F34D69" w:rsidP="00D87226">
      <w:pPr>
        <w:pStyle w:val="ListParagraph"/>
        <w:numPr>
          <w:ilvl w:val="0"/>
          <w:numId w:val="2"/>
        </w:numPr>
        <w:spacing w:line="480" w:lineRule="auto"/>
      </w:pPr>
      <w:r>
        <w:t>compositions R package</w:t>
      </w:r>
      <w:r w:rsidR="003E6F33">
        <w:t xml:space="preserve"> </w:t>
      </w:r>
      <w:r w:rsidR="003E6F33">
        <w:fldChar w:fldCharType="begin"/>
      </w:r>
      <w:r w:rsidR="00ED2D87">
        <w:instrText xml:space="preserve"> ADDIN ZOTERO_ITEM CSL_CITATION {"citationID":"dJ3yxNwC","properties":{"formattedCitation":"(Boogaart et al., 2024)","plainCitation":"(Boogaart et al., 2024)","dontUpdate":true,"noteIndex":0},"citationItems":[{"id":8984,"uris":["http://zotero.org/users/9359754/items/R5RZM9VC"],"itemData":{"id":8984,"type":"software","abstract":"Provides functions for the consistent analysis of compositional data (e.g. portions of substances) and positive numbers (e.g. concentrations) in the way proposed by J. Aitchison and V. Pawlowsky-Glahn.","license":"GPL-2 | GPL-3 [expanded from: GPL (≥ 2)]","source":"R-Packages","title":"compositions: Compositional Data Analysis","title-short":"compositions","URL":"https://cran.r-project.org/web/packages/compositions/index.html","version":"2.0-8","author":[{"family":"Boogaart","given":"K. Gerald","dropping-particle":"van den"},{"family":"Tolosana-Delgado","given":"Raimon"},{"family":"Bren","given":"Matevz"}],"accessed":{"date-parts":[["2025",7,28]]},"issued":{"date-parts":[["2024",1,31]]},"citation-key":"boogaart2024"}}],"schema":"https://github.com/citation-style-language/schema/raw/master/csl-citation.json"} </w:instrText>
      </w:r>
      <w:r w:rsidR="003E6F33">
        <w:fldChar w:fldCharType="separate"/>
      </w:r>
      <w:r w:rsidR="003E6F33">
        <w:rPr>
          <w:noProof/>
        </w:rPr>
        <w:t xml:space="preserve">(Boogaart et al., 2024; version 2.0-8; </w:t>
      </w:r>
      <w:r w:rsidR="003E6F33" w:rsidRPr="003E6F33">
        <w:rPr>
          <w:noProof/>
        </w:rPr>
        <w:t>http://www.stat.boogaart.de/compositions/</w:t>
      </w:r>
      <w:r w:rsidR="003E6F33">
        <w:rPr>
          <w:noProof/>
        </w:rPr>
        <w:t>)</w:t>
      </w:r>
      <w:r w:rsidR="003E6F33">
        <w:fldChar w:fldCharType="end"/>
      </w:r>
    </w:p>
    <w:p w14:paraId="7AE1F38C" w14:textId="5B8118E3" w:rsidR="00550A3E" w:rsidRDefault="00550A3E" w:rsidP="00D87226">
      <w:pPr>
        <w:pStyle w:val="ListParagraph"/>
        <w:numPr>
          <w:ilvl w:val="0"/>
          <w:numId w:val="2"/>
        </w:numPr>
        <w:spacing w:line="480" w:lineRule="auto"/>
      </w:pPr>
      <w:r>
        <w:t xml:space="preserve">decontam R package </w:t>
      </w:r>
      <w:r>
        <w:fldChar w:fldCharType="begin"/>
      </w:r>
      <w:r w:rsidR="00FF740C">
        <w:instrText xml:space="preserve"> ADDIN ZOTERO_ITEM CSL_CITATION {"citationID":"s56Qc5NE","properties":{"formattedCitation":"(N. M. Davis et al., 2018)","plainCitation":"(N. M. Davis et al., 2018)","dontUpdate":true,"noteIndex":0},"citationItems":[{"id":6512,"uris":["http://zotero.org/users/9359754/items/8XSDB8BM"],"itemData":{"id":6512,"type":"article-journal","abstract":"The accuracy of microbial community surveys based on marker-gene and metagenomic sequencing (MGS) suffers from the presence of contaminants—DNA sequences not truly present in the sample. Contaminants come from various sources, including reagents. Appropriate laboratory practices can reduce contamination, but do not eliminate it. Here we introduce decontam (https://github.com/benjjneb/decontam), an open-source R package that implements a statistical classification procedure that identifies contaminants in MGS data based on two widely reproduced patterns: contaminants appear at higher frequencies in low-concentration samples and are often found in negative controls.","container-title":"Microbiome","DOI":"10.1186/s40168-018-0605-2","ISSN":"2049-2618","issue":"1","journalAbbreviation":"Microbiome","page":"226","source":"BioMed Central","title":"Simple statistical identification and removal of contaminant sequences in marker-gene and metagenomics data","volume":"6","author":[{"family":"Davis","given":"Nicole M."},{"family":"Proctor","given":"Diana M."},{"family":"Holmes","given":"Susan P."},{"family":"Relman","given":"David A."},{"family":"Callahan","given":"Benjamin J."}],"issued":{"date-parts":[["2018",12,17]]},"citation-key":"davis2018a"}}],"schema":"https://github.com/citation-style-language/schema/raw/master/csl-citation.json"} </w:instrText>
      </w:r>
      <w:r>
        <w:fldChar w:fldCharType="separate"/>
      </w:r>
      <w:r>
        <w:rPr>
          <w:noProof/>
        </w:rPr>
        <w:t xml:space="preserve">(N. M. Davis et al., 2018; version </w:t>
      </w:r>
      <w:r w:rsidR="00E96A4F">
        <w:rPr>
          <w:noProof/>
        </w:rPr>
        <w:t>1.29</w:t>
      </w:r>
      <w:r>
        <w:rPr>
          <w:noProof/>
        </w:rPr>
        <w:t xml:space="preserve">; </w:t>
      </w:r>
      <w:r w:rsidRPr="00550A3E">
        <w:rPr>
          <w:noProof/>
        </w:rPr>
        <w:t>https://bioconductor.org/packages/devel/bioc/html/decontam.html</w:t>
      </w:r>
      <w:r>
        <w:rPr>
          <w:noProof/>
        </w:rPr>
        <w:t>)</w:t>
      </w:r>
      <w:r>
        <w:fldChar w:fldCharType="end"/>
      </w:r>
    </w:p>
    <w:p w14:paraId="21BCA513" w14:textId="03F220D3" w:rsidR="00F34D69" w:rsidRDefault="00F34D69" w:rsidP="00D87226">
      <w:pPr>
        <w:pStyle w:val="ListParagraph"/>
        <w:numPr>
          <w:ilvl w:val="0"/>
          <w:numId w:val="2"/>
        </w:numPr>
        <w:spacing w:line="480" w:lineRule="auto"/>
      </w:pPr>
      <w:r>
        <w:t>dplyr R package</w:t>
      </w:r>
      <w:r w:rsidR="003E6F33">
        <w:t xml:space="preserve"> </w:t>
      </w:r>
      <w:r w:rsidR="003E6F33">
        <w:fldChar w:fldCharType="begin"/>
      </w:r>
      <w:r w:rsidR="00ED2D87">
        <w:instrText xml:space="preserve"> ADDIN ZOTERO_ITEM CSL_CITATION {"citationID":"82UdKFWu","properties":{"formattedCitation":"(Wickham et al., 2023)","plainCitation":"(Wickham et al., 2023)","dontUpdate":true,"noteIndex":0},"citationItems":[{"id":8834,"uris":["http://zotero.org/users/9359754/items/4K47BJLP"],"itemData":{"id":8834,"type":"software","abstract":"A fast, consistent tool for working with data frame like objects, both in memory and out of memory.","license":"MIT + file LICENSE","source":"R-Packages","title":"dplyr: A Grammar of Data Manipulation","title-short":"dplyr","URL":"https://cran.r-project.org/web/packages/dplyr/index.html","version":"1.1.4","author":[{"family":"Wickham","given":"Hadley"},{"family":"François","given":"Romain"},{"family":"Henry","given":"Lionel"},{"family":"Müller","given":"Kirill"},{"family":"Vaughan","given":"Davis"},{"family":"Software","given":"Posit"},{"family":"PBC","given":""}],"accessed":{"date-parts":[["2025",1,29]]},"issued":{"date-parts":[["2023",11,17]]},"citation-key":"wickham2023"}}],"schema":"https://github.com/citation-style-language/schema/raw/master/csl-citation.json"} </w:instrText>
      </w:r>
      <w:r w:rsidR="003E6F33">
        <w:fldChar w:fldCharType="separate"/>
      </w:r>
      <w:r w:rsidR="003E6F33">
        <w:rPr>
          <w:noProof/>
        </w:rPr>
        <w:t xml:space="preserve">(Wickham et al., 2023; version 1.1.4; </w:t>
      </w:r>
      <w:r w:rsidR="003E6F33" w:rsidRPr="003E6F33">
        <w:rPr>
          <w:noProof/>
        </w:rPr>
        <w:t>https://dplyr.tidyverse.org</w:t>
      </w:r>
      <w:r w:rsidR="003E6F33">
        <w:rPr>
          <w:noProof/>
        </w:rPr>
        <w:t>)</w:t>
      </w:r>
      <w:r w:rsidR="003E6F33">
        <w:fldChar w:fldCharType="end"/>
      </w:r>
      <w:r>
        <w:t xml:space="preserve"> </w:t>
      </w:r>
    </w:p>
    <w:p w14:paraId="47CAC9FD" w14:textId="669F7B20" w:rsidR="00F34D69" w:rsidRDefault="00F34D69" w:rsidP="00D87226">
      <w:pPr>
        <w:pStyle w:val="ListParagraph"/>
        <w:numPr>
          <w:ilvl w:val="0"/>
          <w:numId w:val="2"/>
        </w:numPr>
        <w:spacing w:line="480" w:lineRule="auto"/>
      </w:pPr>
      <w:r>
        <w:t>ggplot2 R package</w:t>
      </w:r>
      <w:r w:rsidR="003E6F33">
        <w:t xml:space="preserve"> </w:t>
      </w:r>
      <w:r w:rsidR="003E6F33">
        <w:fldChar w:fldCharType="begin"/>
      </w:r>
      <w:r w:rsidR="00550A3E">
        <w:instrText xml:space="preserve"> ADDIN ZOTERO_ITEM CSL_CITATION {"citationID":"RL0EPv0z","properties":{"formattedCitation":"(Wickham, Chang, et al., 2025)","plainCitation":"(Wickham, Chang, et al., 2025)","dontUpdate":true,"noteIndex":0},"citationItems":[{"id":8985,"uris":["http://zotero.org/users/9359754/items/EEUK2SPB"],"itemData":{"id":8985,"type":"software","abstract":"A system for 'declaratively' creating graphics, based on \"The Grammar of Graphics\". You provide the data, tell 'ggplot2' how to map variables to aesthetics, what graphical primitives to use, and it takes care of the details.","license":"MIT + file LICENSE","source":"R-Packages","title":"ggplot2: Create Elegant Data Visualisations Using the Grammar of Graphics","title-short":"ggplot2","URL":"https://cran.r-project.org/web/packages/ggplot2/index.html","version":"3.5.2","author":[{"family":"Wickham","given":"Hadley"},{"family":"Chang","given":"Winston"},{"family":"Henry","given":"Lionel"},{"family":"Pedersen","given":"Thomas Lin"},{"family":"Takahashi","given":"Kohske"},{"family":"Wilke","given":"Claus"},{"family":"Woo","given":"Kara"},{"family":"Yutani","given":"Hiroaki"},{"family":"Dunnington","given":"Dewey"},{"family":"Brand","given":"Teun","dropping-particle":"van den"},{"family":"Posit","given":""},{"family":"PBC","given":""}],"accessed":{"date-parts":[["2025",7,28]]},"issued":{"date-parts":[["2025",4,9]]},"citation-key":"wickham2025"}}],"schema":"https://github.com/citation-style-language/schema/raw/master/csl-citation.json"} </w:instrText>
      </w:r>
      <w:r w:rsidR="003E6F33">
        <w:fldChar w:fldCharType="separate"/>
      </w:r>
      <w:r w:rsidR="003E6F33">
        <w:rPr>
          <w:noProof/>
        </w:rPr>
        <w:t>(Wickham, Chang, et al., 2025</w:t>
      </w:r>
      <w:r w:rsidR="00ED2D87">
        <w:rPr>
          <w:noProof/>
        </w:rPr>
        <w:t xml:space="preserve">; version 3.5.1; </w:t>
      </w:r>
      <w:r w:rsidR="00ED2D87" w:rsidRPr="00ED2D87">
        <w:rPr>
          <w:noProof/>
        </w:rPr>
        <w:t>https://ggplot2.tidyverse.org/</w:t>
      </w:r>
      <w:r w:rsidR="003E6F33">
        <w:rPr>
          <w:noProof/>
        </w:rPr>
        <w:t>)</w:t>
      </w:r>
      <w:r w:rsidR="003E6F33">
        <w:fldChar w:fldCharType="end"/>
      </w:r>
      <w:r>
        <w:t xml:space="preserve"> </w:t>
      </w:r>
    </w:p>
    <w:p w14:paraId="42759CB3" w14:textId="71BE9657" w:rsidR="00F34D69" w:rsidRDefault="00F34D69" w:rsidP="00D87226">
      <w:pPr>
        <w:pStyle w:val="ListParagraph"/>
        <w:numPr>
          <w:ilvl w:val="0"/>
          <w:numId w:val="2"/>
        </w:numPr>
        <w:spacing w:line="480" w:lineRule="auto"/>
      </w:pPr>
      <w:r>
        <w:t>gridExtra R package</w:t>
      </w:r>
      <w:r w:rsidR="003E6F33">
        <w:t xml:space="preserve"> </w:t>
      </w:r>
      <w:r w:rsidR="003E6F33">
        <w:fldChar w:fldCharType="begin"/>
      </w:r>
      <w:r w:rsidR="00ED2D87">
        <w:instrText xml:space="preserve"> ADDIN ZOTERO_ITEM CSL_CITATION {"citationID":"G6FuKR7M","properties":{"formattedCitation":"(Auguie &amp; Antonov, 2017)","plainCitation":"(Auguie &amp; Antonov, 2017)","dontUpdate":true,"noteIndex":0},"citationItems":[{"id":8986,"uris":["http://zotero.org/users/9359754/items/WHTRCH54"],"itemData":{"id":8986,"type":"software","abstract":"Provides a number of user-level functions to work with \"grid\" graphics, notably to arrange multiple grid-based plots on a page, and draw tables.","license":"GPL-2 | GPL-3 [expanded from: GPL (≥ 2)]","source":"R-Packages","title":"gridExtra: Miscellaneous Functions for \"Grid\" Graphics","title-short":"gridExtra","URL":"https://cran.r-project.org/web/packages/gridExtra/index.html","version":"2.3","author":[{"family":"Auguie","given":"Baptiste"},{"family":"Antonov","given":"Anton"}],"accessed":{"date-parts":[["2025",7,28]]},"issued":{"date-parts":[["2017",9,9]]},"citation-key":"auguie2017"}}],"schema":"https://github.com/citation-style-language/schema/raw/master/csl-citation.json"} </w:instrText>
      </w:r>
      <w:r w:rsidR="003E6F33">
        <w:fldChar w:fldCharType="separate"/>
      </w:r>
      <w:r w:rsidR="003E6F33">
        <w:rPr>
          <w:noProof/>
        </w:rPr>
        <w:t xml:space="preserve">(Auguie &amp; Antonov, 2017; version 2.3; </w:t>
      </w:r>
      <w:r w:rsidR="003E6F33" w:rsidRPr="003E6F33">
        <w:rPr>
          <w:noProof/>
        </w:rPr>
        <w:t>https://CRAN.R-project.org/package=gridExtra</w:t>
      </w:r>
      <w:r w:rsidR="003E6F33">
        <w:rPr>
          <w:noProof/>
        </w:rPr>
        <w:t>)</w:t>
      </w:r>
      <w:r w:rsidR="003E6F33">
        <w:fldChar w:fldCharType="end"/>
      </w:r>
    </w:p>
    <w:p w14:paraId="1DE59E94" w14:textId="5E51F99C" w:rsidR="00F34D69" w:rsidRDefault="00F34D69" w:rsidP="00D87226">
      <w:pPr>
        <w:pStyle w:val="ListParagraph"/>
        <w:numPr>
          <w:ilvl w:val="0"/>
          <w:numId w:val="2"/>
        </w:numPr>
        <w:spacing w:line="480" w:lineRule="auto"/>
      </w:pPr>
      <w:r>
        <w:t xml:space="preserve">optparse R package </w:t>
      </w:r>
      <w:r w:rsidR="003E6F33">
        <w:fldChar w:fldCharType="begin"/>
      </w:r>
      <w:r w:rsidR="00ED2D87">
        <w:instrText xml:space="preserve"> ADDIN ZOTERO_ITEM CSL_CITATION {"citationID":"XW5QlItO","properties":{"formattedCitation":"(T. L. Davis et al., 2024)","plainCitation":"(T. L. Davis et al., 2024)","dontUpdate":true,"noteIndex":0},"citationItems":[{"id":8987,"uris":["http://zotero.org/users/9359754/items/H6X3FZVI"],"itemData":{"id":8987,"type":"software","abstract":"A command line parser inspired by Python's 'optparse' library to be used with Rscript to write \"#!\" shebang scripts that accept short and long flag/options.","license":"GPL-2 | GPL-3 [expanded from: GPL (≥ 2)]","source":"R-Packages","title":"optparse: Command Line Option Parser","title-short":"optparse","URL":"https://cran.r-project.org/web/packages/optparse/index.html","version":"1.7.5","author":[{"family":"Davis","given":"Trevor L."},{"family":"package.)","given":"Allen Day (Some","dropping-particle":"documentation and examples ported from the getopt"},{"family":"module.)","given":"Python Software Foundation (Some documentation from the optparse Python"},{"family":"Lianoglou","given":"Steve"},{"family":"Nikelski","given":"Jim"},{"family":"Müller","given":"Kirill"},{"family":"Humburg","given":"Peter"},{"family":"FitzJohn","given":"Rich"},{"family":"Choi","given":"Gyu Jin"}],"accessed":{"date-parts":[["2025",7,28]]},"issued":{"date-parts":[["2024",4,16]]},"citation-key":"davis2024"}}],"schema":"https://github.com/citation-style-language/schema/raw/master/csl-citation.json"} </w:instrText>
      </w:r>
      <w:r w:rsidR="003E6F33">
        <w:fldChar w:fldCharType="separate"/>
      </w:r>
      <w:r w:rsidR="003E6F33">
        <w:rPr>
          <w:noProof/>
        </w:rPr>
        <w:t xml:space="preserve">(T. L. Davis et al., 2024; version 1.7.5; </w:t>
      </w:r>
      <w:r w:rsidR="003E6F33" w:rsidRPr="003E6F33">
        <w:rPr>
          <w:noProof/>
        </w:rPr>
        <w:t>https://github.com/trevorld/r-optparse</w:t>
      </w:r>
      <w:r w:rsidR="003E6F33">
        <w:rPr>
          <w:noProof/>
        </w:rPr>
        <w:t>)</w:t>
      </w:r>
      <w:r w:rsidR="003E6F33">
        <w:fldChar w:fldCharType="end"/>
      </w:r>
    </w:p>
    <w:p w14:paraId="77C257A6" w14:textId="54E6EA47" w:rsidR="00F34D69" w:rsidRDefault="00F34D69" w:rsidP="00D87226">
      <w:pPr>
        <w:pStyle w:val="ListParagraph"/>
        <w:numPr>
          <w:ilvl w:val="0"/>
          <w:numId w:val="2"/>
        </w:numPr>
        <w:spacing w:line="480" w:lineRule="auto"/>
      </w:pPr>
      <w:r>
        <w:lastRenderedPageBreak/>
        <w:t>phyloseq R package</w:t>
      </w:r>
      <w:r w:rsidR="003E6F33">
        <w:t xml:space="preserve"> </w:t>
      </w:r>
      <w:r w:rsidR="003E6F33">
        <w:fldChar w:fldCharType="begin"/>
      </w:r>
      <w:r w:rsidR="00ED2D87">
        <w:instrText xml:space="preserve"> ADDIN ZOTERO_ITEM CSL_CITATION {"citationID":"YsSOCiLV","properties":{"formattedCitation":"(McMurdie &amp; Holmes, 2013)","plainCitation":"(McMurdie &amp; Holmes, 2013)","dontUpdate":true,"noteIndex":0},"citationItems":[{"id":6506,"uris":["http://zotero.org/users/9359754/items/RTICI9YY"],"itemData":{"id":6506,"type":"article-journal","abstract":"Background The analysis of microbial communities through DNA sequencing brings many challenges: the integration of different types of data with methods from ecology, genetics, phylogenetics, multivariate statistics, visualization and testing. With the increased breadth of experimental designs now being pursued, project-specific statistical analyses are often needed, and these analyses are often difficult (or impossible) for peer researchers to independently reproduce. The vast majority of the requisite tools for performing these analyses reproducibly are already implemented in R and its extensions (packages), but with limited support for high throughput microbiome census data. Results Here we describe a software project, phyloseq, dedicated to the object-oriented representation and analysis of microbiome census data in R. It supports importing data from a variety of common formats, as well as many analysis techniques. These include calibration, filtering, subsetting, agglomeration, multi-table comparisons, diversity analysis, parallelized Fast UniFrac, ordination methods, and production of publication-quality graphics; all in a manner that is easy to document, share, and modify. We show how to apply functions from other R packages to phyloseq-represented data, illustrating the availability of a large number of open source analysis techniques. We discuss the use of phyloseq with tools for reproducible research, a practice common in other fields but still rare in the analysis of highly parallel microbiome census data. We have made available all of the materials necessary to completely reproduce the analysis and figures included in this article, an example of best practices for reproducible research. Conclusions The phyloseq project for R is a new open-source software package, freely available on the web from both GitHub and Bioconductor.","container-title":"PLOS ONE","DOI":"10.1371/journal.pone.0061217","ISSN":"1932-6203","issue":"4","journalAbbreviation":"PLOS ONE","language":"en","note":"publisher: Public Library of Science","page":"e61217","source":"PLoS Journals","title":"phyloseq: An R Package for Reproducible Interactive Analysis and Graphics of Microbiome Census Data","title-short":"phyloseq","volume":"8","author":[{"family":"McMurdie","given":"Paul J."},{"family":"Holmes","given":"Susan"}],"issued":{"date-parts":[["2013",4,22]]},"citation-key":"mcmurdie2013"}}],"schema":"https://github.com/citation-style-language/schema/raw/master/csl-citation.json"} </w:instrText>
      </w:r>
      <w:r w:rsidR="003E6F33">
        <w:fldChar w:fldCharType="separate"/>
      </w:r>
      <w:r w:rsidR="003E6F33">
        <w:rPr>
          <w:noProof/>
        </w:rPr>
        <w:t xml:space="preserve">(McMurdie &amp; Holmes, 2013; version 1.44.0; </w:t>
      </w:r>
      <w:r w:rsidR="003E6F33" w:rsidRPr="003E6F33">
        <w:rPr>
          <w:noProof/>
        </w:rPr>
        <w:t>https://joey711.github.io/phyloseq/</w:t>
      </w:r>
      <w:r w:rsidR="003E6F33">
        <w:rPr>
          <w:noProof/>
        </w:rPr>
        <w:t>)</w:t>
      </w:r>
      <w:r w:rsidR="003E6F33">
        <w:fldChar w:fldCharType="end"/>
      </w:r>
    </w:p>
    <w:p w14:paraId="4DB40A65" w14:textId="4902DCC6" w:rsidR="00F34D69" w:rsidRDefault="00F34D69" w:rsidP="00D87226">
      <w:pPr>
        <w:pStyle w:val="ListParagraph"/>
        <w:numPr>
          <w:ilvl w:val="0"/>
          <w:numId w:val="2"/>
        </w:numPr>
        <w:spacing w:line="480" w:lineRule="auto"/>
      </w:pPr>
      <w:r>
        <w:t xml:space="preserve">purrr R package </w:t>
      </w:r>
      <w:r w:rsidR="003E6F33">
        <w:t xml:space="preserve"> </w:t>
      </w:r>
      <w:r w:rsidR="003E6F33">
        <w:fldChar w:fldCharType="begin"/>
      </w:r>
      <w:r w:rsidR="00550A3E">
        <w:instrText xml:space="preserve"> ADDIN ZOTERO_ITEM CSL_CITATION {"citationID":"4jdeNn4F","properties":{"formattedCitation":"(Wickham, Henry, et al., 2025)","plainCitation":"(Wickham, Henry, et al., 2025)","dontUpdate":true,"noteIndex":0},"citationItems":[{"id":8988,"uris":["http://zotero.org/users/9359754/items/U9VTD6A3"],"itemData":{"id":8988,"type":"software","abstract":"A complete and consistent functional programming toolkit for R.","license":"MIT + file LICENSE","source":"R-Packages","title":"purrr: Functional Programming Tools","title-short":"purrr","URL":"https://cran.r-project.org/web/packages/purrr/index.html","version":"1.1.0","author":[{"family":"Wickham","given":"Hadley"},{"family":"Henry","given":"Lionel"},{"family":"Software","given":"Posit"},{"family":"PBC [cph","given":""},{"family":"fnd","given":""}],"accessed":{"date-parts":[["2025",7,28]]},"issued":{"date-parts":[["2025",7,10]]},"citation-key":"wickham2025a"}}],"schema":"https://github.com/citation-style-language/schema/raw/master/csl-citation.json"} </w:instrText>
      </w:r>
      <w:r w:rsidR="003E6F33">
        <w:fldChar w:fldCharType="separate"/>
      </w:r>
      <w:r w:rsidR="003E6F33">
        <w:rPr>
          <w:noProof/>
        </w:rPr>
        <w:t>(Wickham, Henry, et al., 2025</w:t>
      </w:r>
      <w:r w:rsidR="00ED2D87">
        <w:rPr>
          <w:noProof/>
        </w:rPr>
        <w:t xml:space="preserve">; version 1.0.4; </w:t>
      </w:r>
      <w:r w:rsidR="00ED2D87" w:rsidRPr="00ED2D87">
        <w:rPr>
          <w:noProof/>
        </w:rPr>
        <w:t>https://purrr.tidyverse.org/</w:t>
      </w:r>
      <w:r w:rsidR="003E6F33">
        <w:rPr>
          <w:noProof/>
        </w:rPr>
        <w:t>)</w:t>
      </w:r>
      <w:r w:rsidR="003E6F33">
        <w:fldChar w:fldCharType="end"/>
      </w:r>
    </w:p>
    <w:p w14:paraId="55EE1BDC" w14:textId="412FDBA2" w:rsidR="00F34D69" w:rsidRDefault="00F34D69" w:rsidP="00D87226">
      <w:pPr>
        <w:pStyle w:val="ListParagraph"/>
        <w:numPr>
          <w:ilvl w:val="0"/>
          <w:numId w:val="2"/>
        </w:numPr>
        <w:spacing w:line="480" w:lineRule="auto"/>
      </w:pPr>
      <w:r>
        <w:t>readr R package</w:t>
      </w:r>
      <w:r w:rsidR="003E6F33">
        <w:t xml:space="preserve"> </w:t>
      </w:r>
      <w:r w:rsidR="003E6F33">
        <w:fldChar w:fldCharType="begin"/>
      </w:r>
      <w:r w:rsidR="00550A3E">
        <w:instrText xml:space="preserve"> ADDIN ZOTERO_ITEM CSL_CITATION {"citationID":"Ap5nBCfu","properties":{"formattedCitation":"(Wickham, Hester, et al., 2024)","plainCitation":"(Wickham, Hester, et al., 2024)","dontUpdate":true,"noteIndex":0},"citationItems":[{"id":8989,"uris":["http://zotero.org/users/9359754/items/KIGBNMJK"],"itemData":{"id":8989,"type":"software","abstract":"The goal of 'readr' is to provide a fast and friendly way to read rectangular data (like 'csv', 'tsv', and 'fwf'). It is designed to flexibly parse many types of data found in the wild, while still cleanly failing when data unexpectedly changes.","license":"MIT + file LICENSE","source":"R-Packages","title":"readr: Read Rectangular Text Data","title-short":"readr","URL":"https://cran.r-project.org/web/packages/readr/index.html","version":"2.1.5","author":[{"family":"Wickham","given":"Hadley"},{"family":"Hester","given":"Jim"},{"family":"Francois","given":"Romain"},{"family":"Bryan","given":"Jennifer"},{"family":"Bearrows","given":"Shelby"},{"family":"Software","given":"Posit"},{"family":"PBC","given":""},{"family":"library)","given":"https://github com/mandreyel/ (mio"},{"family":"implementation)","given":"Jukka Jylänki (grisu3"},{"family":"implementation)","given":"Mikkel Jørgensen (grisu3"}],"accessed":{"date-parts":[["2025",7,28]]},"issued":{"date-parts":[["2024",1,10]]},"citation-key":"wickham2024"}}],"schema":"https://github.com/citation-style-language/schema/raw/master/csl-citation.json"} </w:instrText>
      </w:r>
      <w:r w:rsidR="003E6F33">
        <w:fldChar w:fldCharType="separate"/>
      </w:r>
      <w:r w:rsidR="003E6F33">
        <w:rPr>
          <w:noProof/>
        </w:rPr>
        <w:t>(Wickham, Hester, et al., 2024</w:t>
      </w:r>
      <w:r w:rsidR="00ED2D87">
        <w:rPr>
          <w:noProof/>
        </w:rPr>
        <w:t xml:space="preserve">; version 2.1.4; </w:t>
      </w:r>
      <w:r w:rsidR="00ED2D87" w:rsidRPr="00ED2D87">
        <w:rPr>
          <w:noProof/>
        </w:rPr>
        <w:t>https://readr.tidyverse.org/</w:t>
      </w:r>
      <w:r w:rsidR="003E6F33">
        <w:rPr>
          <w:noProof/>
        </w:rPr>
        <w:t>)</w:t>
      </w:r>
      <w:r w:rsidR="003E6F33">
        <w:fldChar w:fldCharType="end"/>
      </w:r>
    </w:p>
    <w:p w14:paraId="306FD409" w14:textId="3112E858" w:rsidR="00F34D69" w:rsidRDefault="00F34D69" w:rsidP="00D87226">
      <w:pPr>
        <w:pStyle w:val="ListParagraph"/>
        <w:numPr>
          <w:ilvl w:val="0"/>
          <w:numId w:val="2"/>
        </w:numPr>
        <w:spacing w:line="480" w:lineRule="auto"/>
      </w:pPr>
      <w:r>
        <w:t>readxl R package</w:t>
      </w:r>
      <w:r w:rsidR="003E6F33">
        <w:t xml:space="preserve"> </w:t>
      </w:r>
      <w:r w:rsidR="003E6F33">
        <w:fldChar w:fldCharType="begin"/>
      </w:r>
      <w:r w:rsidR="00ED2D87">
        <w:instrText xml:space="preserve"> ADDIN ZOTERO_ITEM CSL_CITATION {"citationID":"7Toy6kgN","properties":{"formattedCitation":"(Wickham, Bryan, et al., 2025)","plainCitation":"(Wickham, Bryan, et al., 2025)","dontUpdate":true,"noteIndex":0},"citationItems":[{"id":8990,"uris":["http://zotero.org/users/9359754/items/PUSZ6JAV"],"itemData":{"id":8990,"type":"software","abstract":"Import excel files into R. Supports '.xls' via the embedded 'libxls' C library &lt;https://github.com/libxls/libxls&gt; and '.xlsx' via the embedded 'RapidXML' C++ library &lt;https://rapidxml.sourceforge.net/&gt;. Works on Windows, Mac and Linux without external dependencies.","license":"MIT + file LICENSE","source":"R-Packages","title":"readxl: Read Excel Files","title-short":"readxl","URL":"https://cran.r-project.org/web/packages/readxl/index.html","version":"1.4.5","author":[{"family":"Wickham","given":"Hadley"},{"family":"Bryan","given":"Jennifer"},{"family":"Posit","given":""},{"family":"attribution)","given":"PBC (Copyright holder of all R. code and all C/C++","dropping-particle":"code without explicit copyright"},{"family":"code)","given":"Marcin Kalicinski (Author of included RapidXML"},{"family":"code)","given":"Komarov Valery (Author","dropping-particle":"of included libxls"},{"family":"code)","given":"Christophe Leitienne (Author","dropping-particle":"of included libxls"},{"family":"code)","given":"Bob Colbert (Author","dropping-particle":"of included libxls"},{"family":"code)","given":"David Hoerl (Author","dropping-particle":"of included libxls"},{"family":"code)","given":"Evan Miller (Author","dropping-particle":"of included libxls"}],"accessed":{"date-parts":[["2025",7,28]]},"issued":{"date-parts":[["2025",3,7]]},"citation-key":"wickham2025b"}}],"schema":"https://github.com/citation-style-language/schema/raw/master/csl-citation.json"} </w:instrText>
      </w:r>
      <w:r w:rsidR="003E6F33">
        <w:fldChar w:fldCharType="separate"/>
      </w:r>
      <w:r w:rsidR="003E6F33">
        <w:rPr>
          <w:noProof/>
        </w:rPr>
        <w:t xml:space="preserve">(Wickham, Bryan, et al., 2025; version 1.4.2; </w:t>
      </w:r>
      <w:r w:rsidR="003E6F33" w:rsidRPr="003E6F33">
        <w:rPr>
          <w:noProof/>
        </w:rPr>
        <w:t>https://readxl.tidyverse.org/</w:t>
      </w:r>
      <w:r w:rsidR="003E6F33">
        <w:rPr>
          <w:noProof/>
        </w:rPr>
        <w:t>)</w:t>
      </w:r>
      <w:r w:rsidR="003E6F33">
        <w:fldChar w:fldCharType="end"/>
      </w:r>
    </w:p>
    <w:p w14:paraId="6B2840A0" w14:textId="4FBF121B" w:rsidR="00F34D69" w:rsidRDefault="00F34D69" w:rsidP="00D87226">
      <w:pPr>
        <w:pStyle w:val="ListParagraph"/>
        <w:numPr>
          <w:ilvl w:val="0"/>
          <w:numId w:val="2"/>
        </w:numPr>
        <w:spacing w:line="480" w:lineRule="auto"/>
      </w:pPr>
      <w:r>
        <w:t>robCompositions R package</w:t>
      </w:r>
      <w:r w:rsidR="003E6F33">
        <w:t xml:space="preserve"> </w:t>
      </w:r>
      <w:r w:rsidR="003E6F33">
        <w:fldChar w:fldCharType="begin"/>
      </w:r>
      <w:r w:rsidR="00ED2D87">
        <w:instrText xml:space="preserve"> ADDIN ZOTERO_ITEM CSL_CITATION {"citationID":"JNoqoLIs","properties":{"formattedCitation":"(Templ et al., 2023)","plainCitation":"(Templ et al., 2023)","dontUpdate":true,"noteIndex":0},"citationItems":[{"id":8793,"uris":["http://zotero.org/users/9359754/items/CLD2AG3L"],"itemData":{"id":8793,"type":"software","abstract":"Methods for analysis of compositional data including robust methods (&lt;doi:10.1007/978-3-319-96422-5&gt;), imputation of missing values (&lt;doi:10.1016/j.csda.2009.11.023&gt;), methods to replace rounded zeros (&lt;doi:10.1080/02664763.2017.1410524&gt;, &lt;doi:10.1016/j.chemolab.2016.04.011&gt;, &lt;doi:10.1016/j.csda.2012.02.012&gt;), count zeros (&lt;doi:10.1177/1471082X14535524&gt;), methods to deal with essential zeros (&lt;doi:10.1080/02664763.2016.1182135&gt;), (robust) outlier detection for compositional data, (robust) principal component analysis for compositional data, (robust) factor analysis for compositional data, (robust) discriminant analysis for compositional data (Fisher rule), robust regression with compositional predictors, functional data analysis (&lt;doi:10.1016/j.csda.2015.07.007&gt;) and p-splines (&lt;doi:10.1016/j.csda.2015.07.007&gt;), contingency (&lt;doi:10.1080/03610926.2013.824980&gt;) and compositional tables (&lt;doi:10.1111/sjos.12326&gt;, &lt;doi:10.1111/sjos.12223&gt;, &lt;doi:10.1080/02664763.2013.856871&gt;) and (robust) Anderson-Darling normality tests for compositional data as well as popular log-ratio transformations (addLR, cenLR, isomLR, and their inverse transformations). In addition, visualisation and diagnostic tools are implemented as well as high and low-level plot functions for the ternary diagram.","license":"GPL-2 | GPL-3 [expanded from: GPL (≥ 2)]","source":"R-Packages","title":"robCompositions: Compositional Data Analysis","title-short":"robCompositions","URL":"https://cran.r-project.org/web/packages/robCompositions/index.html","version":"2.4.1","author":[{"family":"Templ","given":"Matthias"},{"family":"Hron","given":"Karel"},{"family":"Filzmoser","given":"Peter"},{"family":"Facevicova","given":"Kamila"},{"family":"Kynclova","given":"Petra"},{"family":"Walach","given":"Jan"},{"family":"Pintar","given":"Veronika"},{"family":"Chen","given":"Jiajia"},{"family":"Miksova","given":"Dominika"},{"family":"Meindl","given":"Bernhard"},{"family":"Menafoglio","given":"Alessandra"},{"family":"Blasi","given":"Alessia Di"},{"family":"Pavone","given":"Federico"},{"family":"Stefelova","given":"Nikola"},{"family":"Zeni","given":"Gianluca"},{"family":"Wiederkehr","given":"Roman"}],"accessed":{"date-parts":[["2025",1,8]]},"issued":{"date-parts":[["2023",8,25]]},"citation-key":"templ2023"}}],"schema":"https://github.com/citation-style-language/schema/raw/master/csl-citation.json"} </w:instrText>
      </w:r>
      <w:r w:rsidR="003E6F33">
        <w:fldChar w:fldCharType="separate"/>
      </w:r>
      <w:r w:rsidR="003E6F33">
        <w:rPr>
          <w:noProof/>
        </w:rPr>
        <w:t xml:space="preserve">(Templ et al., 2023; version 2.4.1; </w:t>
      </w:r>
      <w:r w:rsidR="003E6F33" w:rsidRPr="003E6F33">
        <w:rPr>
          <w:noProof/>
        </w:rPr>
        <w:t>https://github.com/matthias-da/robCompositions</w:t>
      </w:r>
      <w:r w:rsidR="003E6F33">
        <w:rPr>
          <w:noProof/>
        </w:rPr>
        <w:t>)</w:t>
      </w:r>
      <w:r w:rsidR="003E6F33">
        <w:fldChar w:fldCharType="end"/>
      </w:r>
    </w:p>
    <w:p w14:paraId="036B0994" w14:textId="5802C03D" w:rsidR="00F34D69" w:rsidRDefault="00F34D69" w:rsidP="00D87226">
      <w:pPr>
        <w:pStyle w:val="ListParagraph"/>
        <w:numPr>
          <w:ilvl w:val="0"/>
          <w:numId w:val="2"/>
        </w:numPr>
        <w:spacing w:line="480" w:lineRule="auto"/>
      </w:pPr>
      <w:r>
        <w:t>sva R package</w:t>
      </w:r>
      <w:r w:rsidR="003E6F33">
        <w:t xml:space="preserve"> </w:t>
      </w:r>
      <w:r w:rsidR="003E6F33">
        <w:fldChar w:fldCharType="begin"/>
      </w:r>
      <w:r w:rsidR="00ED2D87">
        <w:instrText xml:space="preserve"> ADDIN ZOTERO_ITEM CSL_CITATION {"citationID":"e7dGubjy","properties":{"formattedCitation":"(Leek et al., 2025)","plainCitation":"(Leek et al., 2025)","dontUpdate":true,"noteIndex":0},"citationItems":[{"id":8993,"uris":["http://zotero.org/users/9359754/items/26TRPU6N"],"itemData":{"id":8993,"type":"software","abstract":"The sva package contains functions for removing batch effects and other unwanted variation in high-throughput experiment. Specifically, the sva package contains functions for the identifying and building surrogate variables for high-dimensional data sets. Surrogate variables are covariates constructed directly from high-dimensional data (like gene expression/RNA sequencing/methylation/brain imaging data) that can be used in subsequent analyses to adjust for unknown, unmodeled, or latent sources of noise. The sva package can be used to remove artifacts in three ways: (1) identifying and estimating surrogate variables for unknown sources of variation in high-throughput experiments (Leek and Storey 2007 PLoS Genetics,2008 PNAS), (2) directly removing known batch effects using ComBat (Johnson et al. 2007 Biostatistics) and (3) removing batch effects with known control probes (Leek 2014 biorXiv). Removing batch effects and using surrogate variables in differential expression analysis have been shown to reduce dependence, stabilize error rate estimates, and improve reproducibility, see (Leek and Storey 2007 PLoS Genetics, 2008 PNAS or Leek et al. 2011 Nat. Reviews Genetics).","title":"sva: Surrogate Variable Analysis","URL":"http://bioconductor.org/packages/sva/","version":"3.48.0","author":[{"family":"Leek","given":"J.T."},{"family":"Johnson","given":"W.E."},{"family":"Parker","given":"H.S."},{"family":"Fertig","given":"E.J."},{"family":"Jaffe","given":"A.E."},{"family":"Zhang","given":"Y."},{"family":"Storey","given":"J.D."},{"family":"Torres","given":""}],"accessed":{"date-parts":[["2025",7,28]]},"issued":{"date-parts":[["2025"]]},"citation-key":"leek2025"}}],"schema":"https://github.com/citation-style-language/schema/raw/master/csl-citation.json"} </w:instrText>
      </w:r>
      <w:r w:rsidR="003E6F33">
        <w:fldChar w:fldCharType="separate"/>
      </w:r>
      <w:r w:rsidR="003E6F33">
        <w:rPr>
          <w:noProof/>
        </w:rPr>
        <w:t xml:space="preserve">(Leek et al., 2025; version 3.48.0; </w:t>
      </w:r>
      <w:r w:rsidR="003E6F33" w:rsidRPr="003E6F33">
        <w:rPr>
          <w:noProof/>
        </w:rPr>
        <w:t>https://bioconductor.org/packages/sva</w:t>
      </w:r>
      <w:r w:rsidR="003E6F33">
        <w:rPr>
          <w:noProof/>
        </w:rPr>
        <w:t>)</w:t>
      </w:r>
      <w:r w:rsidR="003E6F33">
        <w:fldChar w:fldCharType="end"/>
      </w:r>
      <w:r>
        <w:t xml:space="preserve"> </w:t>
      </w:r>
    </w:p>
    <w:p w14:paraId="7E75EFB0" w14:textId="4EFFC720" w:rsidR="00F34D69" w:rsidRDefault="00F34D69" w:rsidP="00D87226">
      <w:pPr>
        <w:pStyle w:val="ListParagraph"/>
        <w:numPr>
          <w:ilvl w:val="0"/>
          <w:numId w:val="2"/>
        </w:numPr>
        <w:spacing w:line="480" w:lineRule="auto"/>
      </w:pPr>
      <w:r>
        <w:t>tidyr R package</w:t>
      </w:r>
      <w:r w:rsidR="003E6F33">
        <w:t xml:space="preserve"> </w:t>
      </w:r>
      <w:r>
        <w:t xml:space="preserve"> </w:t>
      </w:r>
      <w:r w:rsidR="003E6F33">
        <w:fldChar w:fldCharType="begin"/>
      </w:r>
      <w:r w:rsidR="00ED2D87">
        <w:instrText xml:space="preserve"> ADDIN ZOTERO_ITEM CSL_CITATION {"citationID":"2pahQqku","properties":{"formattedCitation":"(Wickham, Vaughan, et al., 2024)","plainCitation":"(Wickham, Vaughan, et al., 2024)","dontUpdate":true,"noteIndex":0},"citationItems":[{"id":8994,"uris":["http://zotero.org/users/9359754/items/7P4NX4TM"],"itemData":{"id":8994,"type":"software","abstract":"Tools to help to create tidy data, where each column is a variable, each row is an observation, and each cell contains a single value. 'tidyr' contains tools for changing the shape (pivoting) and hierarchy (nesting and 'unnesting') of a dataset, turning deeply nested lists into rectangular data frames ('rectangling'), and extracting values out of string columns. It also includes tools for working with missing values (both implicit and explicit).","license":"MIT + file LICENSE","source":"R-Packages","title":"tidyr: Tidy Messy Data","title-short":"tidyr","URL":"https://cran.r-project.org/web/packages/tidyr/index.html","version":"1.3.1","author":[{"family":"Wickham","given":"Hadley"},{"family":"Vaughan","given":"Davis"},{"family":"Girlich","given":"Maximilian"},{"family":"Ushey","given":"Kevin"},{"family":"Software","given":"Posit"},{"family":"PBC","given":""}],"accessed":{"date-parts":[["2025",7,28]]},"issued":{"date-parts":[["2024",1,24]]},"citation-key":"wickham2024a"}}],"schema":"https://github.com/citation-style-language/schema/raw/master/csl-citation.json"} </w:instrText>
      </w:r>
      <w:r w:rsidR="003E6F33">
        <w:fldChar w:fldCharType="separate"/>
      </w:r>
      <w:r w:rsidR="003E6F33">
        <w:rPr>
          <w:noProof/>
        </w:rPr>
        <w:t>(Wickham, Vaughan, et al., 2024</w:t>
      </w:r>
      <w:r w:rsidR="003E6F33">
        <w:fldChar w:fldCharType="end"/>
      </w:r>
      <w:r w:rsidR="003E6F33">
        <w:t xml:space="preserve">; </w:t>
      </w:r>
      <w:r>
        <w:t>version 1.3.1</w:t>
      </w:r>
      <w:r w:rsidR="003E6F33">
        <w:t xml:space="preserve">; </w:t>
      </w:r>
      <w:r w:rsidR="003E6F33" w:rsidRPr="003E6F33">
        <w:t>https://tidyr.tidyverse.org/</w:t>
      </w:r>
      <w:r>
        <w:t>)</w:t>
      </w:r>
    </w:p>
    <w:p w14:paraId="04BE7BDA" w14:textId="49990B0B" w:rsidR="00F34D69" w:rsidRDefault="00F34D69" w:rsidP="00D87226">
      <w:pPr>
        <w:pStyle w:val="ListParagraph"/>
        <w:numPr>
          <w:ilvl w:val="0"/>
          <w:numId w:val="2"/>
        </w:numPr>
        <w:spacing w:line="480" w:lineRule="auto"/>
      </w:pPr>
      <w:r>
        <w:t xml:space="preserve">tidyverse R package </w:t>
      </w:r>
      <w:r w:rsidR="003E6F33">
        <w:fldChar w:fldCharType="begin"/>
      </w:r>
      <w:r w:rsidR="00ED2D87">
        <w:instrText xml:space="preserve"> ADDIN ZOTERO_ITEM CSL_CITATION {"citationID":"QclxcnX8","properties":{"formattedCitation":"(Wickham &amp; RStudio, 2023)","plainCitation":"(Wickham &amp; RStudio, 2023)","dontUpdate":true,"noteIndex":0},"citationItems":[{"id":8995,"uris":["http://zotero.org/users/9359754/items/KNGJ67KF"],"itemData":{"id":8995,"type":"software","abstract":"The 'tidyverse' is a set of packages that work in harmony because they share common data representations and 'API' design. This package is designed to make it easy to install and load multiple 'tidyverse' packages in a single step. Learn more about the 'tidyverse' at &lt;https://www.tidyverse.org&gt;.","license":"MIT + file LICENSE","source":"R-Packages","title":"tidyverse: Easily Install and Load the 'Tidyverse'","title-short":"tidyverse","URL":"https://cran.r-project.org/web/packages/tidyverse/index.html","version":"2.0.0","author":[{"family":"Wickham","given":"Hadley"},{"family":"RStudio","given":""}],"accessed":{"date-parts":[["2025",7,28]]},"issued":{"date-parts":[["2023",2,22]]},"citation-key":"wickham2023a"}}],"schema":"https://github.com/citation-style-language/schema/raw/master/csl-citation.json"} </w:instrText>
      </w:r>
      <w:r w:rsidR="003E6F33">
        <w:fldChar w:fldCharType="separate"/>
      </w:r>
      <w:r w:rsidR="003E6F33">
        <w:rPr>
          <w:noProof/>
        </w:rPr>
        <w:t>(Wickham &amp; RStudio, 2023</w:t>
      </w:r>
      <w:r w:rsidR="003E6F33">
        <w:fldChar w:fldCharType="end"/>
      </w:r>
      <w:r w:rsidR="003E6F33">
        <w:t xml:space="preserve">; </w:t>
      </w:r>
      <w:r>
        <w:t>version 2.0.0</w:t>
      </w:r>
      <w:r w:rsidR="003E6F33">
        <w:t xml:space="preserve">; </w:t>
      </w:r>
      <w:r w:rsidR="003E6F33" w:rsidRPr="003E6F33">
        <w:t>https://www.tidyverse.org/</w:t>
      </w:r>
      <w:r>
        <w:t>)</w:t>
      </w:r>
    </w:p>
    <w:p w14:paraId="43870AC0" w14:textId="13D131EF" w:rsidR="00F34D69" w:rsidRDefault="00F34D69" w:rsidP="00D87226">
      <w:pPr>
        <w:pStyle w:val="ListParagraph"/>
        <w:numPr>
          <w:ilvl w:val="0"/>
          <w:numId w:val="2"/>
        </w:numPr>
        <w:spacing w:line="480" w:lineRule="auto"/>
      </w:pPr>
      <w:r>
        <w:t xml:space="preserve">vegan R package </w:t>
      </w:r>
      <w:r w:rsidR="003E6F33">
        <w:fldChar w:fldCharType="begin"/>
      </w:r>
      <w:r w:rsidR="00ED2D87">
        <w:instrText xml:space="preserve"> ADDIN ZOTERO_ITEM CSL_CITATION {"citationID":"EhqcubNb","properties":{"formattedCitation":"(Oksanen et al., 2015)","plainCitation":"(Oksanen et al., 2015)","dontUpdate":true,"noteIndex":0},"citationItems":[{"id":1104,"uris":["http://zotero.org/users/9359754/items/AKRG5U76"],"itemData":{"id":1104,"type":"software","note":"container-title: CRAN","title":"Package 'vegan'","author":[{"family":"Oksanen","given":"Author Jari"},{"family":"Blanchet","given":"F Guillaume"},{"family":"Kindt","given":"Roeland"},{"family":"Legendre","given":"Pierre"},{"family":"Minchin","given":"Peter R"},{"family":"Hara","given":"R B O"},{"family":"Simpson","given":"Gavin L"},{"family":"Solymos","given":"Peter"},{"family":"Stevens","given":"M Henry H"},{"family":"Wagner","given":"Helene"}],"issued":{"date-parts":[["2015"]]},"citation-key":"oksanen2015"}}],"schema":"https://github.com/citation-style-language/schema/raw/master/csl-citation.json"} </w:instrText>
      </w:r>
      <w:r w:rsidR="003E6F33">
        <w:fldChar w:fldCharType="separate"/>
      </w:r>
      <w:r w:rsidR="003E6F33">
        <w:rPr>
          <w:noProof/>
        </w:rPr>
        <w:t>(Oksanen et al., 2015</w:t>
      </w:r>
      <w:r w:rsidR="003E6F33">
        <w:fldChar w:fldCharType="end"/>
      </w:r>
      <w:r w:rsidR="003E6F33">
        <w:t xml:space="preserve">; </w:t>
      </w:r>
      <w:r>
        <w:t>version 2.6-4</w:t>
      </w:r>
      <w:r w:rsidR="00BB0FC5">
        <w:t xml:space="preserve">; </w:t>
      </w:r>
      <w:r w:rsidR="00BB0FC5" w:rsidRPr="00BB0FC5">
        <w:t>https://vegandevs.github.io/vegan/</w:t>
      </w:r>
      <w:r>
        <w:t>)</w:t>
      </w:r>
    </w:p>
    <w:p w14:paraId="7ECFEFED" w14:textId="3FC8E0E2" w:rsidR="00F34D69" w:rsidRDefault="00F34D69" w:rsidP="00D87226">
      <w:pPr>
        <w:pStyle w:val="ListParagraph"/>
        <w:numPr>
          <w:ilvl w:val="0"/>
          <w:numId w:val="2"/>
        </w:numPr>
        <w:spacing w:line="480" w:lineRule="auto"/>
      </w:pPr>
      <w:r>
        <w:t xml:space="preserve">vroom R package </w:t>
      </w:r>
      <w:r w:rsidR="00BB0FC5">
        <w:fldChar w:fldCharType="begin"/>
      </w:r>
      <w:r w:rsidR="00ED2D87">
        <w:instrText xml:space="preserve"> ADDIN ZOTERO_ITEM CSL_CITATION {"citationID":"Uvr6ZE7C","properties":{"formattedCitation":"(Hester et al., 2023)","plainCitation":"(Hester et al., 2023)","dontUpdate":true,"noteIndex":0},"citationItems":[{"id":8996,"uris":["http://zotero.org/users/9359754/items/AEZWVRCI"],"itemData":{"id":8996,"type":"software","abstract":"The goal of 'vroom' is to read and write data (like 'csv', 'tsv' and 'fwf') quickly. When reading it uses a quick initial indexing step, then reads the values lazily , so only the data you actually use needs to be read. The writer formats the data in parallel and writes to disk asynchronously from formatting.","license":"MIT + file LICENSE","source":"R-Packages","title":"vroom: Read and Write Rectangular Text Data Quickly","title-short":"vroom","URL":"https://cran.r-project.org/web/packages/vroom/index.html","version":"1.6.5","author":[{"family":"Hester","given":"Jim"},{"family":"Wickham","given":"Hadley"},{"family":"Bryan","given":"Jennifer"},{"family":"Bearrows","given":"Shelby"},{"family":"library)","given":"https://github com/mandreyel/ (mio"},{"family":"implementation)","given":"Jukka Jylänki (grisu3"},{"family":"implementation)","given":"Mikkel Jørgensen (grisu3"},{"family":"Software","given":"Posit"},{"family":"PBC","given":""}],"accessed":{"date-parts":[["2025",7,28]]},"issued":{"date-parts":[["2023",12,5]]},"citation-key":"hester2023"}}],"schema":"https://github.com/citation-style-language/schema/raw/master/csl-citation.json"} </w:instrText>
      </w:r>
      <w:r w:rsidR="00BB0FC5">
        <w:fldChar w:fldCharType="separate"/>
      </w:r>
      <w:r w:rsidR="00BB0FC5">
        <w:rPr>
          <w:noProof/>
        </w:rPr>
        <w:t>(Hester et al., 2023</w:t>
      </w:r>
      <w:r w:rsidR="00BB0FC5">
        <w:fldChar w:fldCharType="end"/>
      </w:r>
      <w:r w:rsidR="00BB0FC5">
        <w:t xml:space="preserve">; </w:t>
      </w:r>
      <w:r>
        <w:t>version 1.6.3</w:t>
      </w:r>
      <w:r w:rsidR="00BB0FC5">
        <w:t xml:space="preserve">; </w:t>
      </w:r>
      <w:r w:rsidR="00BB0FC5" w:rsidRPr="00BB0FC5">
        <w:t>https://vroom.r-lib.org</w:t>
      </w:r>
      <w:r>
        <w:t>)</w:t>
      </w:r>
    </w:p>
    <w:p w14:paraId="5E28836A" w14:textId="473EBB31" w:rsidR="00C81151" w:rsidRDefault="00C81151" w:rsidP="00D87226">
      <w:pPr>
        <w:spacing w:line="480" w:lineRule="auto"/>
      </w:pPr>
    </w:p>
    <w:p w14:paraId="4CA02E47" w14:textId="09067BC4" w:rsidR="00C81151" w:rsidRDefault="00C81151" w:rsidP="00D87226">
      <w:pPr>
        <w:spacing w:line="480" w:lineRule="auto"/>
        <w:rPr>
          <w:b/>
          <w:i/>
        </w:rPr>
      </w:pPr>
      <w:r>
        <w:rPr>
          <w:b/>
          <w:i/>
        </w:rPr>
        <w:t>Input Data</w:t>
      </w:r>
    </w:p>
    <w:p w14:paraId="7B699C04" w14:textId="0DD5C1CB" w:rsidR="00844F72" w:rsidRPr="0063205A" w:rsidRDefault="00844F72" w:rsidP="00D87226">
      <w:pPr>
        <w:spacing w:line="480" w:lineRule="auto"/>
        <w:rPr>
          <w:bCs/>
          <w:iCs/>
        </w:rPr>
      </w:pPr>
      <w:r>
        <w:rPr>
          <w:bCs/>
          <w:iCs/>
        </w:rPr>
        <w:t xml:space="preserve">There are two main types of input data for this pipeline: sequence data files (1) and metadata files (2) that describe </w:t>
      </w:r>
      <w:r w:rsidR="00883D31">
        <w:rPr>
          <w:bCs/>
          <w:iCs/>
        </w:rPr>
        <w:t xml:space="preserve">each </w:t>
      </w:r>
      <w:r>
        <w:rPr>
          <w:bCs/>
          <w:iCs/>
        </w:rPr>
        <w:t xml:space="preserve">samples </w:t>
      </w:r>
      <w:r w:rsidR="00883D31">
        <w:rPr>
          <w:bCs/>
          <w:iCs/>
        </w:rPr>
        <w:t xml:space="preserve">(e.g., environmental conditions, sampling date and location, etc.) </w:t>
      </w:r>
      <w:r>
        <w:rPr>
          <w:bCs/>
          <w:iCs/>
        </w:rPr>
        <w:t xml:space="preserve">that </w:t>
      </w:r>
      <w:r w:rsidR="00883D31">
        <w:rPr>
          <w:bCs/>
          <w:iCs/>
        </w:rPr>
        <w:t xml:space="preserve">has </w:t>
      </w:r>
      <w:r w:rsidR="00EB1DF3">
        <w:rPr>
          <w:bCs/>
          <w:iCs/>
        </w:rPr>
        <w:t xml:space="preserve">corresponding </w:t>
      </w:r>
      <w:r>
        <w:rPr>
          <w:bCs/>
          <w:iCs/>
        </w:rPr>
        <w:t xml:space="preserve">sequence data. </w:t>
      </w:r>
    </w:p>
    <w:p w14:paraId="6A5B9515" w14:textId="0ACAF278" w:rsidR="00D87226" w:rsidRPr="00D87226" w:rsidRDefault="00D87226" w:rsidP="00D87226">
      <w:pPr>
        <w:pStyle w:val="ListParagraph"/>
        <w:numPr>
          <w:ilvl w:val="0"/>
          <w:numId w:val="4"/>
        </w:numPr>
        <w:spacing w:line="480" w:lineRule="auto"/>
        <w:rPr>
          <w:rFonts w:eastAsia="Times New Roman" w:cs="Times New Roman"/>
        </w:rPr>
      </w:pPr>
      <w:r w:rsidRPr="00D87226">
        <w:rPr>
          <w:rFonts w:eastAsia="Times New Roman" w:cs="Times New Roman"/>
        </w:rPr>
        <w:lastRenderedPageBreak/>
        <w:t xml:space="preserve">The </w:t>
      </w:r>
      <w:r w:rsidR="00F34D69">
        <w:rPr>
          <w:rFonts w:eastAsia="Times New Roman" w:cs="Times New Roman"/>
        </w:rPr>
        <w:t xml:space="preserve">main </w:t>
      </w:r>
      <w:r w:rsidRPr="00D87226">
        <w:rPr>
          <w:rFonts w:eastAsia="Times New Roman" w:cs="Times New Roman"/>
        </w:rPr>
        <w:t xml:space="preserve">input for this workflow consists of demultiplexed FASTQ files generated from </w:t>
      </w:r>
      <w:r w:rsidR="00D35267">
        <w:rPr>
          <w:rFonts w:eastAsia="Times New Roman" w:cs="Times New Roman"/>
        </w:rPr>
        <w:t xml:space="preserve">paired (forward and reverse) short-read (up to </w:t>
      </w:r>
      <w:r w:rsidR="00037885">
        <w:rPr>
          <w:rFonts w:eastAsia="Times New Roman" w:cs="Times New Roman"/>
        </w:rPr>
        <w:t>250 bp</w:t>
      </w:r>
      <w:r w:rsidR="00D35267">
        <w:rPr>
          <w:rFonts w:eastAsia="Times New Roman" w:cs="Times New Roman"/>
        </w:rPr>
        <w:t xml:space="preserve">) high-throughput </w:t>
      </w:r>
      <w:r w:rsidRPr="00D87226">
        <w:rPr>
          <w:rFonts w:eastAsia="Times New Roman" w:cs="Times New Roman"/>
        </w:rPr>
        <w:t>sequencing</w:t>
      </w:r>
      <w:r w:rsidR="00D35267">
        <w:rPr>
          <w:rFonts w:eastAsia="Times New Roman" w:cs="Times New Roman"/>
        </w:rPr>
        <w:t xml:space="preserve"> of PCR amplicons via Illumina </w:t>
      </w:r>
      <w:r w:rsidR="00833FA2">
        <w:rPr>
          <w:rFonts w:eastAsia="Times New Roman" w:cs="Times New Roman"/>
        </w:rPr>
        <w:t>sequencing platforms</w:t>
      </w:r>
      <w:r w:rsidRPr="00D87226">
        <w:rPr>
          <w:rFonts w:eastAsia="Times New Roman" w:cs="Times New Roman"/>
        </w:rPr>
        <w:t xml:space="preserve">. </w:t>
      </w:r>
      <w:r w:rsidR="005D3F74">
        <w:rPr>
          <w:rFonts w:eastAsia="Times New Roman" w:cs="Times New Roman"/>
        </w:rPr>
        <w:t xml:space="preserve">The sequencing facility can often provide demultiplexed </w:t>
      </w:r>
      <w:r w:rsidR="00CA2062">
        <w:rPr>
          <w:rFonts w:eastAsia="Times New Roman" w:cs="Times New Roman"/>
        </w:rPr>
        <w:t xml:space="preserve">(i.e., sequence data separated by amplicon type and </w:t>
      </w:r>
      <w:r w:rsidR="004A370E">
        <w:rPr>
          <w:rFonts w:eastAsia="Times New Roman" w:cs="Times New Roman"/>
        </w:rPr>
        <w:t xml:space="preserve">DNA </w:t>
      </w:r>
      <w:r w:rsidR="00CA2062">
        <w:rPr>
          <w:rFonts w:eastAsia="Times New Roman" w:cs="Times New Roman"/>
        </w:rPr>
        <w:t>barcode</w:t>
      </w:r>
      <w:r w:rsidR="00F2555D">
        <w:rPr>
          <w:rFonts w:eastAsia="Times New Roman" w:cs="Times New Roman"/>
        </w:rPr>
        <w:t xml:space="preserve"> </w:t>
      </w:r>
      <w:r w:rsidR="00CA2062">
        <w:rPr>
          <w:rFonts w:eastAsia="Times New Roman" w:cs="Times New Roman"/>
        </w:rPr>
        <w:t xml:space="preserve">or sample ID) </w:t>
      </w:r>
      <w:r w:rsidR="005D3F74">
        <w:rPr>
          <w:rFonts w:eastAsia="Times New Roman" w:cs="Times New Roman"/>
        </w:rPr>
        <w:t xml:space="preserve">data back to the user, if the user provides the sequencing facility with </w:t>
      </w:r>
      <w:r w:rsidR="005C39D9">
        <w:rPr>
          <w:rFonts w:eastAsia="Times New Roman" w:cs="Times New Roman"/>
        </w:rPr>
        <w:t xml:space="preserve">DNA </w:t>
      </w:r>
      <w:r w:rsidR="00600CDA">
        <w:rPr>
          <w:rFonts w:eastAsia="Times New Roman" w:cs="Times New Roman"/>
        </w:rPr>
        <w:t xml:space="preserve">primer and </w:t>
      </w:r>
      <w:r w:rsidR="00933175">
        <w:rPr>
          <w:rFonts w:eastAsia="Times New Roman" w:cs="Times New Roman"/>
        </w:rPr>
        <w:t xml:space="preserve">barcode information for each sample. </w:t>
      </w:r>
      <w:r w:rsidRPr="00D87226">
        <w:rPr>
          <w:rFonts w:eastAsia="Times New Roman" w:cs="Times New Roman"/>
        </w:rPr>
        <w:t xml:space="preserve">Each </w:t>
      </w:r>
      <w:r w:rsidR="00113211">
        <w:rPr>
          <w:rFonts w:eastAsia="Times New Roman" w:cs="Times New Roman"/>
        </w:rPr>
        <w:t xml:space="preserve">sequenced </w:t>
      </w:r>
      <w:r w:rsidRPr="00D87226">
        <w:rPr>
          <w:rFonts w:eastAsia="Times New Roman" w:cs="Times New Roman"/>
        </w:rPr>
        <w:t xml:space="preserve">sample </w:t>
      </w:r>
      <w:r w:rsidR="00F34D69">
        <w:rPr>
          <w:rFonts w:eastAsia="Times New Roman" w:cs="Times New Roman"/>
        </w:rPr>
        <w:t>is represented by a pair of files</w:t>
      </w:r>
      <w:r w:rsidRPr="00D87226">
        <w:rPr>
          <w:rFonts w:eastAsia="Times New Roman" w:cs="Times New Roman"/>
        </w:rPr>
        <w:t xml:space="preserve">: one </w:t>
      </w:r>
      <w:r w:rsidR="00F34D69">
        <w:rPr>
          <w:rFonts w:eastAsia="Times New Roman" w:cs="Times New Roman"/>
        </w:rPr>
        <w:t>for</w:t>
      </w:r>
      <w:r w:rsidRPr="00D87226">
        <w:rPr>
          <w:rFonts w:eastAsia="Times New Roman" w:cs="Times New Roman"/>
        </w:rPr>
        <w:t xml:space="preserve"> the forward reads and another </w:t>
      </w:r>
      <w:r w:rsidR="00F34D69">
        <w:rPr>
          <w:rFonts w:eastAsia="Times New Roman" w:cs="Times New Roman"/>
        </w:rPr>
        <w:t>for</w:t>
      </w:r>
      <w:r w:rsidRPr="00D87226">
        <w:rPr>
          <w:rFonts w:eastAsia="Times New Roman" w:cs="Times New Roman"/>
        </w:rPr>
        <w:t xml:space="preserve"> the reverse reads. </w:t>
      </w:r>
    </w:p>
    <w:p w14:paraId="14A0E10F" w14:textId="26C4A728" w:rsidR="00C81151" w:rsidRDefault="0092541C" w:rsidP="0091203D">
      <w:pPr>
        <w:pStyle w:val="ListParagraph"/>
        <w:numPr>
          <w:ilvl w:val="0"/>
          <w:numId w:val="4"/>
        </w:numPr>
        <w:spacing w:line="480" w:lineRule="auto"/>
      </w:pPr>
      <w:r>
        <w:t xml:space="preserve">The secondary input file for these samples is a </w:t>
      </w:r>
      <w:r w:rsidR="00F34D69">
        <w:t xml:space="preserve">metadata file for each amplicon sequence dataset. </w:t>
      </w:r>
      <w:r w:rsidR="005F5341">
        <w:t>In the metadata, t</w:t>
      </w:r>
      <w:r w:rsidR="00F34D69">
        <w:t xml:space="preserve">here should be a column called “sample_name” that matches the </w:t>
      </w:r>
      <w:r w:rsidR="000D1FE1">
        <w:t xml:space="preserve">sample </w:t>
      </w:r>
      <w:r w:rsidR="00F34D69">
        <w:t>naming scheme from the demultiplexed FASTQ files</w:t>
      </w:r>
      <w:r w:rsidR="00720812">
        <w:t>. In addition</w:t>
      </w:r>
      <w:r w:rsidR="0091203D">
        <w:t xml:space="preserve">, </w:t>
      </w:r>
      <w:r w:rsidR="00A7273E">
        <w:t xml:space="preserve">the file should contain </w:t>
      </w:r>
      <w:r w:rsidR="0091203D">
        <w:t>a column called “is_control” with values TRUE (in rows for negative controls) or FALSE (in rows for samples), a column called “sample_type” which defines the sample type</w:t>
      </w:r>
      <w:r w:rsidR="009C6B21">
        <w:t xml:space="preserve"> (e.g., soil, leaf, root)</w:t>
      </w:r>
      <w:r w:rsidR="0091203D">
        <w:t>, a column called “sequencing_batch” which defines the sequencing run the sample was included on, and a column called “dna_conc”</w:t>
      </w:r>
      <w:r w:rsidR="00980953">
        <w:t>,</w:t>
      </w:r>
      <w:r w:rsidR="0091203D">
        <w:t xml:space="preserve"> which contains the sample’s DNA concentration in ng/</w:t>
      </w:r>
      <w:r w:rsidR="00550A3E">
        <w:rPr>
          <w:rFonts w:cs="Times New Roman"/>
        </w:rPr>
        <w:t>µ</w:t>
      </w:r>
      <w:r w:rsidR="00550A3E">
        <w:t>L</w:t>
      </w:r>
      <w:r w:rsidR="0091203D">
        <w:t xml:space="preserve"> before sample pooling </w:t>
      </w:r>
      <w:r w:rsidR="00980953">
        <w:t>into a single library for</w:t>
      </w:r>
      <w:r w:rsidR="0091203D">
        <w:t xml:space="preserve"> sequencing</w:t>
      </w:r>
      <w:r w:rsidR="002578E6">
        <w:t xml:space="preserve"> (Table 1)</w:t>
      </w:r>
      <w:r w:rsidR="0091203D">
        <w:t>.</w:t>
      </w:r>
    </w:p>
    <w:p w14:paraId="1C9BD80C" w14:textId="77777777" w:rsidR="00900706" w:rsidRDefault="00900706">
      <w:pPr>
        <w:spacing w:line="480" w:lineRule="auto"/>
      </w:pPr>
    </w:p>
    <w:p w14:paraId="3417A63B" w14:textId="77777777" w:rsidR="00FF0CBC" w:rsidRDefault="00FF0CBC" w:rsidP="00FF0CBC">
      <w:pPr>
        <w:spacing w:line="480" w:lineRule="auto"/>
      </w:pPr>
      <w:r>
        <w:t>PROTOCOL OVERVIEW</w:t>
      </w:r>
    </w:p>
    <w:p w14:paraId="0A50EECB" w14:textId="5D92627F" w:rsidR="00FF0CBC" w:rsidRDefault="0077632A" w:rsidP="00FF0CBC">
      <w:pPr>
        <w:spacing w:line="480" w:lineRule="auto"/>
      </w:pPr>
      <w:r>
        <w:t>F</w:t>
      </w:r>
      <w:r w:rsidR="008E3D8F">
        <w:t>irst</w:t>
      </w:r>
      <w:r>
        <w:t>, we</w:t>
      </w:r>
      <w:r w:rsidR="00FF0CBC">
        <w:t xml:space="preserve"> </w:t>
      </w:r>
      <w:r w:rsidR="001106A5">
        <w:t>implement</w:t>
      </w:r>
      <w:r w:rsidR="00FF0CBC">
        <w:t xml:space="preserve"> a </w:t>
      </w:r>
      <w:r w:rsidR="006F3A85">
        <w:t xml:space="preserve">software module consisting of </w:t>
      </w:r>
      <w:r w:rsidR="00220D09">
        <w:t xml:space="preserve">a </w:t>
      </w:r>
      <w:r w:rsidR="00FF0CBC">
        <w:t xml:space="preserve">set of standard, freely available </w:t>
      </w:r>
      <w:r w:rsidR="001106A5">
        <w:t>software products</w:t>
      </w:r>
      <w:r w:rsidR="00FF0CBC">
        <w:t xml:space="preserve"> (with default parameters) to isolate high-quality sequences from low-quality sequences and calculate counts of taxonomically</w:t>
      </w:r>
      <w:r w:rsidR="00510C91">
        <w:t xml:space="preserve"> </w:t>
      </w:r>
      <w:r w:rsidR="00FF0CBC">
        <w:t xml:space="preserve">annotated Amplicon Sequence Variants (ASVs) in each sample. </w:t>
      </w:r>
      <w:r w:rsidR="006F3A85">
        <w:t>Th</w:t>
      </w:r>
      <w:r w:rsidR="008C647B">
        <w:t>is</w:t>
      </w:r>
      <w:r w:rsidR="00FF0CBC">
        <w:t xml:space="preserve"> in-house pipeline module </w:t>
      </w:r>
      <w:r w:rsidR="006F3A85">
        <w:t>cleans, clusters, and annotates sequences</w:t>
      </w:r>
      <w:r w:rsidR="00FF0CBC">
        <w:t xml:space="preserve"> </w:t>
      </w:r>
      <w:r w:rsidR="00BF7EBB">
        <w:t>by combining</w:t>
      </w:r>
      <w:r w:rsidR="00FF0CBC">
        <w:t xml:space="preserve"> (</w:t>
      </w:r>
      <w:r w:rsidR="00130906">
        <w:t>a</w:t>
      </w:r>
      <w:r w:rsidR="00FF0CBC">
        <w:t>) primer and adapter trimming from sequences</w:t>
      </w:r>
      <w:r w:rsidR="00130906">
        <w:t xml:space="preserve"> and</w:t>
      </w:r>
      <w:r w:rsidR="00FF0CBC">
        <w:t xml:space="preserve"> removal of short, low-quality sequences, </w:t>
      </w:r>
      <w:r w:rsidR="00FF0CBC">
        <w:lastRenderedPageBreak/>
        <w:t>(</w:t>
      </w:r>
      <w:r w:rsidR="00130906">
        <w:t>b</w:t>
      </w:r>
      <w:r w:rsidR="00FF0CBC">
        <w:t>) clustering of sequences into ASVs, and (</w:t>
      </w:r>
      <w:r w:rsidR="00130906">
        <w:t>c</w:t>
      </w:r>
      <w:r w:rsidR="00FF0CBC">
        <w:t>) taxonomic assignment of ASVs</w:t>
      </w:r>
      <w:r w:rsidR="001B1F91">
        <w:t xml:space="preserve"> by mapping to established public </w:t>
      </w:r>
      <w:r w:rsidR="00045E9E">
        <w:t xml:space="preserve">DNA sequence </w:t>
      </w:r>
      <w:r w:rsidR="001B1F91">
        <w:t>databases</w:t>
      </w:r>
      <w:r w:rsidR="005E4A1E">
        <w:t xml:space="preserve"> for bacteria and fungi</w:t>
      </w:r>
      <w:r w:rsidR="00FF0CBC">
        <w:t xml:space="preserve">. </w:t>
      </w:r>
      <w:r w:rsidR="00EA3251">
        <w:t>Then</w:t>
      </w:r>
      <w:r w:rsidR="00FF0CBC">
        <w:t xml:space="preserve">, we </w:t>
      </w:r>
      <w:r w:rsidR="001106A5">
        <w:t xml:space="preserve">constructed a </w:t>
      </w:r>
      <w:r w:rsidR="00BA4498">
        <w:t xml:space="preserve">custom </w:t>
      </w:r>
      <w:r w:rsidR="00050E9E">
        <w:t xml:space="preserve">data curation </w:t>
      </w:r>
      <w:r w:rsidR="001106A5">
        <w:t xml:space="preserve">pipeline to </w:t>
      </w:r>
      <w:r w:rsidR="005E4A1E">
        <w:t xml:space="preserve">format </w:t>
      </w:r>
      <w:r w:rsidR="00FF0CBC">
        <w:t xml:space="preserve">ASV tables (containing untransformed ASV counts per sample) for additional data cleaning steps, </w:t>
      </w:r>
      <w:r w:rsidR="005E4A1E">
        <w:t xml:space="preserve">remove poorly-sequenced samples, </w:t>
      </w:r>
      <w:r w:rsidR="00FF0CBC">
        <w:t>transform</w:t>
      </w:r>
      <w:r w:rsidR="005E4A1E">
        <w:t xml:space="preserve"> </w:t>
      </w:r>
      <w:r w:rsidR="00FF0CBC">
        <w:t xml:space="preserve">ASV counts </w:t>
      </w:r>
      <w:r w:rsidR="005E4A1E">
        <w:t xml:space="preserve">so they are comparable (i.e. normalized) </w:t>
      </w:r>
      <w:r w:rsidR="00FF0CBC">
        <w:t>across samples, and calculat</w:t>
      </w:r>
      <w:r w:rsidR="00544D9C">
        <w:t xml:space="preserve">ed </w:t>
      </w:r>
      <w:r w:rsidR="00FF0CBC">
        <w:t xml:space="preserve">diversity (alpha- and beta-) and functional group relative abundances across samples. The resulting data tables (in .csv format) can be used for statistical analyses of microbial group (taxonomic or functional) relative abundances and diversity differences across samples or sample groups. </w:t>
      </w:r>
    </w:p>
    <w:p w14:paraId="73B76987" w14:textId="42A20B89" w:rsidR="00C0646C" w:rsidRDefault="00C0646C" w:rsidP="00FF0CBC">
      <w:pPr>
        <w:spacing w:line="480" w:lineRule="auto"/>
      </w:pPr>
    </w:p>
    <w:p w14:paraId="5DA16F38" w14:textId="297057A6" w:rsidR="00C0646C" w:rsidRDefault="003079B9" w:rsidP="0078390C">
      <w:pPr>
        <w:spacing w:line="480" w:lineRule="auto"/>
        <w:jc w:val="center"/>
      </w:pPr>
      <w:r>
        <w:rPr>
          <w:noProof/>
        </w:rPr>
        <w:lastRenderedPageBreak/>
        <w:drawing>
          <wp:inline distT="0" distB="0" distL="0" distR="0" wp14:anchorId="55DF44BC" wp14:editId="4F62708B">
            <wp:extent cx="3988256" cy="737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png"/>
                    <pic:cNvPicPr/>
                  </pic:nvPicPr>
                  <pic:blipFill>
                    <a:blip r:embed="rId5">
                      <a:extLst>
                        <a:ext uri="{28A0092B-C50C-407E-A947-70E740481C1C}">
                          <a14:useLocalDpi xmlns:a14="http://schemas.microsoft.com/office/drawing/2010/main" val="0"/>
                        </a:ext>
                      </a:extLst>
                    </a:blip>
                    <a:stretch>
                      <a:fillRect/>
                    </a:stretch>
                  </pic:blipFill>
                  <pic:spPr>
                    <a:xfrm>
                      <a:off x="0" y="0"/>
                      <a:ext cx="3998298" cy="7397279"/>
                    </a:xfrm>
                    <a:prstGeom prst="rect">
                      <a:avLst/>
                    </a:prstGeom>
                  </pic:spPr>
                </pic:pic>
              </a:graphicData>
            </a:graphic>
          </wp:inline>
        </w:drawing>
      </w:r>
    </w:p>
    <w:p w14:paraId="77528726" w14:textId="52DA7DCF" w:rsidR="00FF0CBC" w:rsidRDefault="00C0646C" w:rsidP="0063205A">
      <w:pPr>
        <w:spacing w:line="480" w:lineRule="auto"/>
      </w:pPr>
      <w:r>
        <w:rPr>
          <w:b/>
        </w:rPr>
        <w:t xml:space="preserve">Fig. 1: </w:t>
      </w:r>
      <w:r>
        <w:t xml:space="preserve">An overview of the protocol. Pink steps are performed only on 16S data, blue steps are performed only on ITS data, and purple steps are performed on either type of data. </w:t>
      </w:r>
    </w:p>
    <w:p w14:paraId="23195334" w14:textId="77777777" w:rsidR="00C0646C" w:rsidRPr="00C0646C" w:rsidRDefault="00C0646C" w:rsidP="0063205A">
      <w:pPr>
        <w:spacing w:line="480" w:lineRule="auto"/>
      </w:pPr>
    </w:p>
    <w:p w14:paraId="2F54CDAB" w14:textId="362B1838" w:rsidR="00900706" w:rsidRDefault="00900706" w:rsidP="00900706">
      <w:pPr>
        <w:spacing w:line="480" w:lineRule="auto"/>
        <w:rPr>
          <w:b/>
          <w:i/>
        </w:rPr>
      </w:pPr>
      <w:r>
        <w:rPr>
          <w:b/>
          <w:i/>
        </w:rPr>
        <w:t>Operation</w:t>
      </w:r>
    </w:p>
    <w:p w14:paraId="1F24B44D" w14:textId="629B242F" w:rsidR="0012011C" w:rsidRDefault="0012011C" w:rsidP="0012011C">
      <w:pPr>
        <w:spacing w:line="480" w:lineRule="auto"/>
      </w:pPr>
      <w:r>
        <w:t xml:space="preserve">The pipeline </w:t>
      </w:r>
      <w:r w:rsidR="008A6282">
        <w:t xml:space="preserve">is </w:t>
      </w:r>
      <w:r>
        <w:t xml:space="preserve">run on </w:t>
      </w:r>
      <w:r w:rsidRPr="004570DC">
        <w:t>Boston University’s Shared Computing Cluster</w:t>
      </w:r>
      <w:r>
        <w:t xml:space="preserve"> (BU SCC), a Linux cluster, using a command-line interface.</w:t>
      </w:r>
      <w:r w:rsidR="003258D4">
        <w:t xml:space="preserve"> For 16S and ITS amplicon sequence data from </w:t>
      </w:r>
      <w:r w:rsidR="00CA5309">
        <w:t>854</w:t>
      </w:r>
      <w:r w:rsidR="003258D4">
        <w:t xml:space="preserve"> samples,</w:t>
      </w:r>
      <w:r>
        <w:t xml:space="preserve"> </w:t>
      </w:r>
      <w:r w:rsidR="00CA5309">
        <w:t>22.9</w:t>
      </w:r>
      <w:r w:rsidR="003258D4">
        <w:t xml:space="preserve"> Gb storage was needed for raw FASTQ files and </w:t>
      </w:r>
      <w:r w:rsidR="00CA5309">
        <w:t>up to 16</w:t>
      </w:r>
      <w:r>
        <w:t xml:space="preserve"> cores </w:t>
      </w:r>
      <w:r w:rsidR="003258D4">
        <w:t xml:space="preserve">were used </w:t>
      </w:r>
      <w:r>
        <w:t xml:space="preserve">for parallel computation. </w:t>
      </w:r>
      <w:r w:rsidR="00413D8D">
        <w:t xml:space="preserve">The </w:t>
      </w:r>
      <w:r w:rsidR="00417884">
        <w:t xml:space="preserve">first component of the </w:t>
      </w:r>
      <w:r w:rsidR="00413D8D">
        <w:t xml:space="preserve">pipeline is loaded as a module on the cluster, then </w:t>
      </w:r>
      <w:r w:rsidR="00CE73B0">
        <w:t xml:space="preserve">a sequence of </w:t>
      </w:r>
      <w:r w:rsidR="00417884">
        <w:t xml:space="preserve">commands </w:t>
      </w:r>
      <w:r w:rsidR="00CE73B0">
        <w:t>is</w:t>
      </w:r>
      <w:r w:rsidR="00417884">
        <w:t xml:space="preserve"> </w:t>
      </w:r>
      <w:r w:rsidR="00413D8D">
        <w:t xml:space="preserve">submitted as a batch job, so that </w:t>
      </w:r>
      <w:r w:rsidR="00CE73B0">
        <w:t>it</w:t>
      </w:r>
      <w:r w:rsidR="00413D8D">
        <w:t xml:space="preserve"> will run on another cluster computer that has multiple processors.</w:t>
      </w:r>
      <w:r w:rsidR="00417884">
        <w:t xml:space="preserve"> </w:t>
      </w:r>
      <w:r w:rsidR="00E52046">
        <w:t xml:space="preserve">The second component of the pipeline </w:t>
      </w:r>
      <w:r w:rsidR="00E223C3">
        <w:t>i</w:t>
      </w:r>
      <w:r w:rsidR="00E52046">
        <w:t xml:space="preserve">s also run on the cluster, but can be run locally on a personal computer as well. </w:t>
      </w:r>
      <w:r w:rsidR="00467974">
        <w:t xml:space="preserve">Each step of the pipeline is run separately for each amplicon dataset analyzed (i.e. 16S and ITS data are </w:t>
      </w:r>
      <w:r w:rsidR="00C11CC8">
        <w:t>not</w:t>
      </w:r>
      <w:r w:rsidR="00467974">
        <w:t xml:space="preserve"> combined for any step, even if sequence data from both amplicons was produced for the same samples).</w:t>
      </w:r>
      <w:r w:rsidR="001C020F">
        <w:t xml:space="preserve"> </w:t>
      </w:r>
    </w:p>
    <w:p w14:paraId="2B04425C" w14:textId="77777777" w:rsidR="00413D8D" w:rsidRPr="00C81151" w:rsidRDefault="00413D8D" w:rsidP="0012011C">
      <w:pPr>
        <w:spacing w:line="480" w:lineRule="auto"/>
      </w:pPr>
    </w:p>
    <w:p w14:paraId="24EFF91C" w14:textId="3FC3FC0E" w:rsidR="004570DC" w:rsidRDefault="004570DC" w:rsidP="00D87226">
      <w:pPr>
        <w:spacing w:line="480" w:lineRule="auto"/>
        <w:rPr>
          <w:u w:val="single"/>
        </w:rPr>
      </w:pPr>
      <w:r>
        <w:rPr>
          <w:u w:val="single"/>
        </w:rPr>
        <w:t>STEP 1:</w:t>
      </w:r>
      <w:r w:rsidR="00050E52">
        <w:rPr>
          <w:u w:val="single"/>
        </w:rPr>
        <w:t xml:space="preserve"> QUALITY FILTER RAW SEQUENCE DATA, IDENTIFY AMPLICON SEQUENCE VARIANTS, AND ASSIGN TAXONOMY</w:t>
      </w:r>
    </w:p>
    <w:p w14:paraId="48B1EE7B" w14:textId="7E60C405" w:rsidR="00E62840" w:rsidRDefault="004570DC" w:rsidP="00D87226">
      <w:pPr>
        <w:spacing w:line="480" w:lineRule="auto"/>
      </w:pPr>
      <w:r>
        <w:t>Raw amplicon</w:t>
      </w:r>
      <w:r w:rsidRPr="004570DC">
        <w:t xml:space="preserve"> sequencing data </w:t>
      </w:r>
      <w:r>
        <w:t>is</w:t>
      </w:r>
      <w:r w:rsidRPr="004570DC">
        <w:t xml:space="preserve"> processed using BU16S</w:t>
      </w:r>
      <w:r w:rsidR="003C4E49">
        <w:t>-ITS</w:t>
      </w:r>
      <w:r w:rsidR="00A30B82">
        <w:t xml:space="preserve"> </w:t>
      </w:r>
      <w:r w:rsidR="00050E52">
        <w:fldChar w:fldCharType="begin"/>
      </w:r>
      <w:r w:rsidR="00A30B82">
        <w:instrText xml:space="preserve"> ADDIN ZOTERO_ITEM CSL_CITATION {"citationID":"bLuzLgRM","properties":{"formattedCitation":"(Silverstein et al., 2024)","plainCitation":"(Silverstein et al., 2024)","noteIndex":0},"citationItems":[{"id":6464,"uris":["http://zotero.org/users/9359754/items/93ZWZWQF"],"itemData":{"id":6464,"type":"article-journal","container-title":"Nature Ecology &amp; Evolution","DOI":"10.1038/s41559-024-02440-6","ISSN":"2397-334X","issue":"8","journalAbbreviation":"Nat Ecol Evol","language":"en","page":"1493-1504","source":"DOI.org (Crossref)","title":"Metabolic complexity drives divergence in microbial communities","volume":"8","author":[{"family":"Silverstein","given":"Michael R."},{"family":"Bhatnagar","given":"Jennifer M."},{"family":"Segrè","given":"Daniel"}],"issued":{"date-parts":[["2024",7,2]]},"citation-key":"silverstein2024"}}],"schema":"https://github.com/citation-style-language/schema/raw/master/csl-citation.json"} </w:instrText>
      </w:r>
      <w:r w:rsidR="00050E52">
        <w:fldChar w:fldCharType="separate"/>
      </w:r>
      <w:r w:rsidR="00A30B82">
        <w:rPr>
          <w:rFonts w:cs="Times New Roman"/>
        </w:rPr>
        <w:t>(Silverstein et al., 2024)</w:t>
      </w:r>
      <w:r w:rsidR="00050E52">
        <w:fldChar w:fldCharType="end"/>
      </w:r>
      <w:r w:rsidRPr="004570DC">
        <w:t>, a QIIME2</w:t>
      </w:r>
      <w:r w:rsidR="00D253EF">
        <w:t xml:space="preserve"> environment-based</w:t>
      </w:r>
      <w:r w:rsidR="00A30B82">
        <w:t xml:space="preserve"> </w:t>
      </w:r>
      <w:r w:rsidR="00050E52">
        <w:fldChar w:fldCharType="begin"/>
      </w:r>
      <w:r w:rsidR="00A30B82">
        <w:instrText xml:space="preserve"> ADDIN ZOTERO_ITEM CSL_CITATION {"citationID":"a7SIv9V2","properties":{"formattedCitation":"(Bolyen et al., 2019)","plainCitation":"(Bolyen et al., 2019)","noteIndex":0},"citationItems":[{"id":6465,"uris":["http://zotero.org/users/9359754/items/I67Q6NIN"],"itemData":{"id":6465,"type":"article-journal","container-title":"Nature Biotechnology","DOI":"10.1038/s41587-019-0209-9","ISSN":"1546-1696","issue":"8","journalAbbreviation":"Nat Biotechnol","language":"en","license":"2019 The Author(s), under exclusive licence to Springer Nature America, Inc.","note":"publisher: Nature Publishing Group","page":"852-857","source":"www.nature.com","title":"Reproducible, interactive, scalable and extensible microbiome data science using QIIME 2","volume":"37","author":[{"family":"Bolyen","given":"Evan"},{"family":"Rideout","given":"Jai Ram"},{"family":"Dillon","given":"Matthew R."},{"family":"Bokulich","given":"Nicholas A."},{"family":"Abnet","given":"Christian C."},{"family":"Al-Ghalith","given":"Gabriel A."},{"family":"Alexander","given":"Harriet"},{"family":"Alm","given":"Eric J."},{"family":"Arumugam","given":"Manimozhiyan"},{"family":"Asnicar","given":"Francesco"},{"family":"Bai","given":"Yang"},{"family":"Bisanz","given":"Jordan E."},{"family":"Bittinger","given":"Kyle"},{"family":"Brejnrod","given":"Asker"},{"family":"Brislawn","given":"Colin J."},{"family":"Brown","given":"C. Titus"},{"family":"Callahan","given":"Benjamin J."},{"family":"Caraballo-Rodríguez","given":"Andrés Mauricio"},{"family":"Chase","given":"John"},{"family":"Cope","given":"Emily K."},{"family":"Da Silva","given":"Ricardo"},{"family":"Diener","given":"Christian"},{"family":"Dorrestein","given":"Pieter C."},{"family":"Douglas","given":"Gavin M."},{"family":"Durall","given":"Daniel M."},{"family":"Duvallet","given":"Claire"},{"family":"Edwardson","given":"Christian F."},{"family":"Ernst","given":"Madeleine"},{"family":"Estaki","given":"Mehrbod"},{"family":"Fouquier","given":"Jennifer"},{"family":"Gauglitz","given":"Julia M."},{"family":"Gibbons","given":"Sean M."},{"family":"Gibson","given":"Deanna L."},{"family":"Gonzalez","given":"Antonio"},{"family":"Gorlick","given":"Kestrel"},{"family":"Guo","given":"Jiarong"},{"family":"Hillmann","given":"Benjamin"},{"family":"Holmes","given":"Susan"},{"family":"Holste","given":"Hannes"},{"family":"Huttenhower","given":"Curtis"},{"family":"Huttley","given":"Gavin A."},{"family":"Janssen","given":"Stefan"},{"family":"Jarmusch","given":"Alan K."},{"family":"Jiang","given":"Lingjing"},{"family":"Kaehler","given":"Benjamin D."},{"family":"Kang","given":"Kyo Bin"},{"family":"Keefe","given":"Christopher R."},{"family":"Keim","given":"Paul"},{"family":"Kelley","given":"Scott T."},{"family":"Knights","given":"Dan"},{"family":"Koester","given":"Irina"},{"family":"Kosciolek","given":"Tomasz"},{"family":"Kreps","given":"Jorden"},{"family":"Langille","given":"Morgan G. I."},{"family":"Lee","given":"Joslynn"},{"family":"Ley","given":"Ruth"},{"family":"Liu","given":"Yong-Xin"},{"family":"Loftfield","given":"Erikka"},{"family":"Lozupone","given":"Catherine"},{"family":"Maher","given":"Massoud"},{"family":"Marotz","given":"Clarisse"},{"family":"Martin","given":"Bryan D."},{"family":"McDonald","given":"Daniel"},{"family":"McIver","given":"Lauren J."},{"family":"Melnik","given":"Alexey V."},{"family":"Metcalf","given":"Jessica L."},{"family":"Morgan","given":"Sydney C."},{"family":"Morton","given":"Jamie T."},{"family":"Naimey","given":"Ahmad Turan"},{"family":"Navas-Molina","given":"Jose A."},{"family":"Nothias","given":"Louis Felix"},{"family":"Orchanian","given":"Stephanie B."},{"family":"Pearson","given":"Talima"},{"family":"Peoples","given":"Samuel L."},{"family":"Petras","given":"Daniel"},{"family":"Preuss","given":"Mary Lai"},{"family":"Pruesse","given":"Elmar"},{"family":"Rasmussen","given":"Lasse Buur"},{"family":"Rivers","given":"Adam"},{"family":"Robeson","given":"Michael S."},{"family":"Rosenthal","given":"Patrick"},{"family":"Segata","given":"Nicola"},{"family":"Shaffer","given":"Michael"},{"family":"Shiffer","given":"Arron"},{"family":"Sinha","given":"Rashmi"},{"family":"Song","given":"Se Jin"},{"family":"Spear","given":"John R."},{"family":"Swafford","given":"Austin D."},{"family":"Thompson","given":"Luke R."},{"family":"Torres","given":"Pedro J."},{"family":"Trinh","given":"Pauline"},{"family":"Tripathi","given":"Anupriya"},{"family":"Turnbaugh","given":"Peter J."},{"family":"Ul-Hasan","given":"Sabah"},{"family":"Hooft","given":"Justin J. J.","non-dropping-particle":"van der"},{"family":"Vargas","given":"Fernando"},{"family":"Vázquez-Baeza","given":"Yoshiki"},{"family":"Vogtmann","given":"Emily"},{"family":"Hippel","given":"Max","non-dropping-particle":"von"},{"family":"Walters","given":"William"},{"family":"Wan","given":"Yunhu"},{"family":"Wang","given":"Mingxun"},{"family":"Warren","given":"Jonathan"},{"family":"Weber","given":"Kyle C."},{"family":"Williamson","given":"Charles H. D."},{"family":"Willis","given":"Amy D."},{"family":"Xu","given":"Zhenjiang Zech"},{"family":"Zaneveld","given":"Jesse R."},{"family":"Zhang","given":"Yilong"},{"family":"Zhu","given":"Qiyun"},{"family":"Knight","given":"Rob"},{"family":"Caporaso","given":"J. Gregory"}],"issued":{"date-parts":[["2019",8]]},"citation-key":"bolyen2019"}}],"schema":"https://github.com/citation-style-language/schema/raw/master/csl-citation.json"} </w:instrText>
      </w:r>
      <w:r w:rsidR="00050E52">
        <w:fldChar w:fldCharType="separate"/>
      </w:r>
      <w:r w:rsidR="00A30B82">
        <w:rPr>
          <w:rFonts w:cs="Times New Roman"/>
        </w:rPr>
        <w:t>(Bolyen et al., 2019)</w:t>
      </w:r>
      <w:r w:rsidR="00050E52">
        <w:fldChar w:fldCharType="end"/>
      </w:r>
      <w:r w:rsidRPr="004570DC">
        <w:t xml:space="preserve"> pipeline</w:t>
      </w:r>
      <w:r w:rsidR="0012011C">
        <w:t>,</w:t>
      </w:r>
      <w:r w:rsidRPr="004570DC">
        <w:t xml:space="preserve"> customized to run on</w:t>
      </w:r>
      <w:r w:rsidR="0012011C">
        <w:t xml:space="preserve"> the BU SCC</w:t>
      </w:r>
      <w:r w:rsidRPr="004570DC">
        <w:t>. Briefly, BU16S</w:t>
      </w:r>
      <w:r w:rsidR="003C4E49">
        <w:t>-ITS</w:t>
      </w:r>
      <w:r w:rsidRPr="004570DC">
        <w:t xml:space="preserve"> first trims </w:t>
      </w:r>
      <w:r w:rsidR="007A3BE9">
        <w:t xml:space="preserve">out </w:t>
      </w:r>
      <w:r w:rsidRPr="004570DC">
        <w:t xml:space="preserve">primers </w:t>
      </w:r>
      <w:r w:rsidR="007A3BE9">
        <w:t xml:space="preserve">from each sequence </w:t>
      </w:r>
      <w:r w:rsidRPr="004570DC">
        <w:t xml:space="preserve">and filters out reads of less than 50 base pairs </w:t>
      </w:r>
      <w:r w:rsidR="00BF2E5D">
        <w:t>(which would provide unreliable taxonomic assignments and ASV construction</w:t>
      </w:r>
      <w:r w:rsidR="00220D09">
        <w:t xml:space="preserve"> </w:t>
      </w:r>
      <w:r w:rsidR="00220D09">
        <w:fldChar w:fldCharType="begin"/>
      </w:r>
      <w:r w:rsidR="00220D09">
        <w:instrText xml:space="preserve"> ADDIN ZOTERO_ITEM CSL_CITATION {"citationID":"YEdGi50L","properties":{"formattedCitation":"(Liu et al., 2007)","plainCitation":"(Liu et al., 2007)","noteIndex":0},"citationItems":[{"id":9036,"uris":["http://zotero.org/users/9359754/items/TRI93C3G"],"itemData":{"id":9036,"type":"article-journal","abstract":"Pyrosequencing technology allows us to characterize microbial communities using 16S ribosomal RNA (rRNA) sequences orders of magnitude faster and more cheaply than has previously been possible. However, results from different studies using pyrosequencing and traditional sequencing are often difficult to compare, because amplicons covering different regions of the rRNA might yield different conclusions. We used sequences from over 200 globally dispersed environments to test whether studies that used similar primers clustered together mistakenly, without regard to environment. We then tested whether primer choice affects sequence-based community analyses using UniFrac, our recently-developed method for comparing microbial communities. We performed three tests of primer effects. We tested whether different simulated amplicons generated the same UniFrac clustering results as near-full-length sequences for three recent large-scale studies of microbial communities in the mouse and human gut, and the Guerrero Negro microbial mat. We then repeated this analysis for short sequences (100-, 150-, 200- and 250-base reads) resembling those produced by pyrosequencing. The results show that sequencing effort is best focused on gathering more short sequences rather than fewer longer ones, provided that the primers are chosen wisely, and that community comparison methods such as UniFrac are surprisingly robust to variation in the region sequenced.","container-title":"Nucleic Acids Research","DOI":"10.1093/nar/gkm541","ISSN":"0305-1048","issue":"18","journalAbbreviation":"Nucleic Acids Research","page":"e120","source":"Silverchair","title":"Short pyrosequencing reads suffice for accurate microbial community analysis","volume":"35","author":[{"family":"Liu","given":"Zongzhi"},{"family":"Lozupone","given":"Catherine"},{"family":"Hamady","given":"Micah"},{"family":"Bushman","given":"Frederic D."},{"family":"Knight","given":"Rob"}],"issued":{"date-parts":[["2007",9,15]]},"citation-key":"liu2007"}}],"schema":"https://github.com/citation-style-language/schema/raw/master/csl-citation.json"} </w:instrText>
      </w:r>
      <w:r w:rsidR="00220D09">
        <w:fldChar w:fldCharType="separate"/>
      </w:r>
      <w:r w:rsidR="00220D09">
        <w:rPr>
          <w:noProof/>
        </w:rPr>
        <w:t>(Liu et al., 2007)</w:t>
      </w:r>
      <w:r w:rsidR="00220D09">
        <w:fldChar w:fldCharType="end"/>
      </w:r>
      <w:r w:rsidR="00220D09">
        <w:t>)</w:t>
      </w:r>
      <w:r w:rsidR="001C020F">
        <w:t xml:space="preserve">, </w:t>
      </w:r>
      <w:r w:rsidRPr="004570DC">
        <w:t>using cutadapt</w:t>
      </w:r>
      <w:r w:rsidR="00A30B82">
        <w:t xml:space="preserve"> </w:t>
      </w:r>
      <w:r w:rsidR="00050E52">
        <w:fldChar w:fldCharType="begin"/>
      </w:r>
      <w:r w:rsidR="00A30B82">
        <w:instrText xml:space="preserve"> ADDIN ZOTERO_ITEM CSL_CITATION {"citationID":"SwBaJUUi","properties":{"formattedCitation":"(Martin, 2011)","plainCitation":"(Martin, 2011)","noteIndex":0},"citationItems":[{"id":4892,"uris":["http://zotero.org/users/9359754/items/2SEKRNGG"],"itemData":{"id":4892,"type":"article-journal","abstract":"When small RNA is sequenced on current sequencing machines, the resulting reads are usually longer than the RNA and therefore contain parts of the 3' adapter. That adapter must be found and removed error-tolerantly from each read before read mapping. Previous solutions are either hard to use or do not offer required features, in particular support for color space data. As an easy to use alternative, we developed the command-line tool cutadapt, which supports 454, Illumina and SOLiD (color space) data, offers two adapter trimming algorithms, and has other useful features. Cutadapt, including its MIT-licensed source code, is available for download at http://code.google.com/p/cutadapt/","container-title":"EMBnet.journal","DOI":"10.14806/ej.17.1.200","ISSN":"2226-6089","issue":"1","language":"en","license":"Copyright (c)","note":"number: 1","page":"10-12","source":"journal.embnet.org","title":"Cutadapt removes adapter sequences from high-throughput sequencing reads","volume":"17","author":[{"family":"Martin","given":"Marcel"}],"issued":{"date-parts":[["2011",5,2]]},"citation-key":"martin2011"}}],"schema":"https://github.com/citation-style-language/schema/raw/master/csl-citation.json"} </w:instrText>
      </w:r>
      <w:r w:rsidR="00050E52">
        <w:fldChar w:fldCharType="separate"/>
      </w:r>
      <w:r w:rsidR="00A30B82">
        <w:rPr>
          <w:rFonts w:cs="Times New Roman"/>
        </w:rPr>
        <w:t>(Martin, 2011)</w:t>
      </w:r>
      <w:r w:rsidR="00050E52">
        <w:fldChar w:fldCharType="end"/>
      </w:r>
      <w:r w:rsidRPr="004570DC">
        <w:t xml:space="preserve">, then </w:t>
      </w:r>
      <w:r w:rsidR="00050E52" w:rsidRPr="00DA37A2">
        <w:t>identifies amplicon sequence variants (ASVs) that are 99% similar in rDNA sequence using</w:t>
      </w:r>
      <w:r w:rsidRPr="004570DC">
        <w:t xml:space="preserve"> </w:t>
      </w:r>
      <w:r w:rsidR="00050E52">
        <w:t>DADA2</w:t>
      </w:r>
      <w:r w:rsidR="00A30B82">
        <w:t xml:space="preserve"> </w:t>
      </w:r>
      <w:r w:rsidR="00050E52">
        <w:fldChar w:fldCharType="begin"/>
      </w:r>
      <w:r w:rsidR="00A30B82">
        <w:instrText xml:space="preserve"> ADDIN ZOTERO_ITEM CSL_CITATION {"citationID":"8Rrnpj5P","properties":{"formattedCitation":"(Callahan et al., 2016)","plainCitation":"(Callahan et al., 2016)","noteIndex":0},"citationItems":[{"id":104,"uris":["http://zotero.org/users/9359754/items/P7ZYYCC3"],"itemData":{"id":104,"type":"article-journal","abstract":"We present the open-source software package DADA2 for modeling and correcting Illumina-sequenced amplicon errors (https://github.com/benjjneb/dada2). DADA2 infers sample sequences exactly and resolves differences of as little as 1 nucleotide. In several mock communities, DADA2 identified more real variants and output fewer spurious sequences than other methods. We applied DADA2 to vaginal samples from a cohort of pregnant women, revealing a diversity of previously undetected Lactobacillus crispatus variants.","container-title":"Nature Methods","DOI":"10.1038/nmeth.3869","ISSN":"15487105","issue":"7","note":"PMID: 27214047","page":"581–583","title":"DADA2: High-resolution sample inference from Illumina amplicon data","volume":"13","author":[{"family":"Callahan","given":"Benjamin J"},{"family":"McMurdie","given":"Paul J."},{"family":"Rosen","given":"Michael J"},{"family":"Han","given":"Andrew W"},{"family":"Johnson","given":"Amy Jo A"},{"family":"Holmes","given":"Susan P"}],"issued":{"date-parts":[["2016"]]},"citation-key":"callahan2016"}}],"schema":"https://github.com/citation-style-language/schema/raw/master/csl-citation.json"} </w:instrText>
      </w:r>
      <w:r w:rsidR="00050E52">
        <w:fldChar w:fldCharType="separate"/>
      </w:r>
      <w:r w:rsidR="00A30B82">
        <w:rPr>
          <w:rFonts w:cs="Times New Roman"/>
        </w:rPr>
        <w:t>(Callahan et al., 2016)</w:t>
      </w:r>
      <w:r w:rsidR="00050E52">
        <w:fldChar w:fldCharType="end"/>
      </w:r>
      <w:r w:rsidR="00390442">
        <w:t>.</w:t>
      </w:r>
      <w:r w:rsidRPr="004570DC">
        <w:t xml:space="preserve"> </w:t>
      </w:r>
      <w:r w:rsidR="00AA75E8" w:rsidRPr="00AA75E8">
        <w:t>BU16S-ITS classifies a given ASV sequence to a reference database and assigns the taxonomy shared by the majority of the resulting hits</w:t>
      </w:r>
      <w:r w:rsidR="00B0191C">
        <w:t>.</w:t>
      </w:r>
      <w:r w:rsidR="007F76F8" w:rsidRPr="004570DC">
        <w:t xml:space="preserve"> </w:t>
      </w:r>
      <w:r w:rsidRPr="004570DC">
        <w:t xml:space="preserve">ASVs </w:t>
      </w:r>
      <w:r w:rsidR="001377D2">
        <w:t>are assigned taxonomy if they have</w:t>
      </w:r>
      <w:r w:rsidRPr="004570DC">
        <w:t xml:space="preserve"> 95% or greater sequence identity </w:t>
      </w:r>
      <w:r w:rsidR="00E164C7">
        <w:t xml:space="preserve">to </w:t>
      </w:r>
      <w:r w:rsidR="00C97C65">
        <w:t xml:space="preserve">sequences from individual </w:t>
      </w:r>
      <w:r w:rsidR="00E164C7">
        <w:t xml:space="preserve">taxa in </w:t>
      </w:r>
      <w:r>
        <w:t>a</w:t>
      </w:r>
      <w:r w:rsidR="00E164C7">
        <w:t>n online</w:t>
      </w:r>
      <w:r w:rsidR="00050E52">
        <w:t xml:space="preserve"> </w:t>
      </w:r>
      <w:r w:rsidRPr="004570DC">
        <w:t>database</w:t>
      </w:r>
      <w:r w:rsidR="00E164C7">
        <w:t>:</w:t>
      </w:r>
      <w:r w:rsidR="00050E52">
        <w:t xml:space="preserve"> </w:t>
      </w:r>
      <w:r w:rsidR="00050E52" w:rsidRPr="00DA37A2">
        <w:t xml:space="preserve">SILVA99 </w:t>
      </w:r>
      <w:r w:rsidR="00050E52">
        <w:fldChar w:fldCharType="begin"/>
      </w:r>
      <w:r w:rsidR="00ED2D87">
        <w:instrText xml:space="preserve"> ADDIN ZOTERO_ITEM CSL_CITATION {"citationID":"0Na3Q0ws","properties":{"formattedCitation":"(Quast et al., 2013)","plainCitation":"(Quast et al., 2013)","dontUpdate":true,"noteIndex":0},"citationItems":[{"id":414,"uris":["http://zotero.org/users/9359754/items/FXMI4U8S"],"itemData":{"id":414,"type":"article-journal","abstract":"SILVA (from Latin silva, forest, http://www.arb-silva.de) is a comprehensive web resource for up to date, quality-controlled databases of aligned ribosomal RNA (rRNA) gene sequences from the Bacteria, Archaea and Eukaryota domains and supplementary online services. The referred database release 111 (July 2012) contains 3194 778 small subunit and 288717 large subunit rRNA gene sequences. Since the initial description of the project, substantial new features have been introduced, including advanced quality control procedures, an improved rRNA gene aligner, online tools for probe and primer evaluation and optimized browsing, searching and downloading on the website. Furthermore, the extensively curated SILVA taxonomy and the new non-redundant SILVA datasets provide an ideal reference for high-throughput classification of data from next-generation sequencing approaches. © The Author(s) 2012.","container-title":"Nucleic Acids Research","DOI":"10.1093/nar/gks1219","ISSN":"03051048","issue":"D1","note":"ISBN: 590/1069277\nPMID: 23193283","page":"D590–D596","title":"The SILVA ribosomal RNA gene database project: Improved data processing and web-based tools","volume":"41","author":[{"family":"Quast","given":"Christian"},{"family":"Pruesse","given":"Elmar"},{"family":"Yilmaz","given":"Pelin"},{"family":"Gerken","given":"Jan"},{"family":"Schweer","given":"Timmy"},{"family":"Yarza","given":"Pablo"},{"family":"Peplies","given":"Jörg"},{"family":"Glöckner","given":"Frank Oliver"}],"issued":{"date-parts":[["2013"]]},"citation-key":"quast2013"}}],"schema":"https://github.com/citation-style-language/schema/raw/master/csl-citation.json"} </w:instrText>
      </w:r>
      <w:r w:rsidR="00050E52">
        <w:fldChar w:fldCharType="separate"/>
      </w:r>
      <w:r w:rsidR="00A30B82">
        <w:rPr>
          <w:rFonts w:cs="Times New Roman"/>
        </w:rPr>
        <w:t xml:space="preserve">(Quast et </w:t>
      </w:r>
      <w:r w:rsidR="00A30B82">
        <w:rPr>
          <w:rFonts w:cs="Times New Roman"/>
        </w:rPr>
        <w:lastRenderedPageBreak/>
        <w:t>al., 2013</w:t>
      </w:r>
      <w:r w:rsidR="007B6467">
        <w:rPr>
          <w:rFonts w:cs="Times New Roman"/>
        </w:rPr>
        <w:t>; version 138.1</w:t>
      </w:r>
      <w:r w:rsidR="00A30B82">
        <w:rPr>
          <w:rFonts w:cs="Times New Roman"/>
        </w:rPr>
        <w:t>)</w:t>
      </w:r>
      <w:r w:rsidR="00050E52">
        <w:fldChar w:fldCharType="end"/>
      </w:r>
      <w:r w:rsidR="00050E52" w:rsidRPr="00DA37A2">
        <w:t xml:space="preserve"> for bacteria </w:t>
      </w:r>
      <w:r w:rsidR="005647F8">
        <w:t>or</w:t>
      </w:r>
      <w:r w:rsidR="005647F8" w:rsidRPr="00DA37A2">
        <w:t xml:space="preserve"> </w:t>
      </w:r>
      <w:r w:rsidR="00050E52" w:rsidRPr="00DA37A2">
        <w:t>UNITE dynamic database</w:t>
      </w:r>
      <w:r w:rsidR="00A30B82">
        <w:t xml:space="preserve"> </w:t>
      </w:r>
      <w:r w:rsidR="00050E52">
        <w:fldChar w:fldCharType="begin"/>
      </w:r>
      <w:r w:rsidR="00ED2D87">
        <w:instrText xml:space="preserve"> ADDIN ZOTERO_ITEM CSL_CITATION {"citationID":"yFc8B37g","properties":{"formattedCitation":"(Nilsson et al., 2019)","plainCitation":"(Nilsson et al., 2019)","dontUpdate":true,"noteIndex":0},"citationItems":[{"id":1203,"uris":["http://zotero.org/users/9359754/items/CGSLBMLI"],"itemData":{"id":1203,"type":"article-journal","abstract":"UNITE (https://unite.ut.ee/) is a web-based database and sequence management environment for the molecular identification of fungi. It targets the formal fungal barcode-the nuclear ribosomal internal transcribed spacer (ITS) region-and offers all â 1/41 000 000 public fungal ITS sequences for reference. These are clustered into â 1/4459 000 species hypotheses and assigned digital object identifiers (DOIs) to promote unambiguous reference across studies. In-house and web-based third-party sequence curation and annotation have resulted in more than 275 000 improvements to the data over the past 15 years. UNITE serves as a data provider for a range of metabarcoding software pipelines and regularly exchanges data with all major fungal sequence databases and other community resources. Recent improvements include redesigned handling of unclassifiable species hypotheses, integration with the taxonomic backbone of the Global Biodiversity Information Facility, and support for an unlimited number of parallel taxonomic classification systems.","container-title":"Nucleic Acids Research","DOI":"10.1093/nar/gky1022","ISSN":"13624962","issue":"D1","note":"PMID: 30371820","page":"D259–D264","title":"The UNITE database for molecular identification of fungi: Handling dark taxa and parallel taxonomic classifications","volume":"47","author":[{"family":"Nilsson","given":"Rolf Henrik"},{"family":"Larsson","given":"Karl-Henrik"},{"family":"Taylor","given":"Andy F.S."},{"family":"Bengtsson-Palme","given":"Johan"},{"family":"Jeppesen","given":"Thomas Stjernegaard"},{"family":"Schigel","given":"Dmitry"},{"family":"Kennedy","given":"Peter G."},{"family":"Picard","given":"Kathryn"},{"family":"Glöckner","given":"Frank Oliver"},{"family":"Tedersoo","given":"Leho"},{"family":"Saar","given":"Irja"},{"family":"Kõljalg","given":"Urmas"},{"family":"Abarenkov","given":"Kessy"}],"issued":{"date-parts":[["2019"]]},"citation-key":"nilsson2019a"}}],"schema":"https://github.com/citation-style-language/schema/raw/master/csl-citation.json"} </w:instrText>
      </w:r>
      <w:r w:rsidR="00050E52">
        <w:fldChar w:fldCharType="separate"/>
      </w:r>
      <w:r w:rsidR="00A30B82">
        <w:rPr>
          <w:rFonts w:cs="Times New Roman"/>
        </w:rPr>
        <w:t>(Nilsson et al., 2019</w:t>
      </w:r>
      <w:r w:rsidR="007B6467">
        <w:rPr>
          <w:rFonts w:cs="Times New Roman"/>
        </w:rPr>
        <w:t>; version 9.0</w:t>
      </w:r>
      <w:r w:rsidR="00A30B82">
        <w:rPr>
          <w:rFonts w:cs="Times New Roman"/>
        </w:rPr>
        <w:t>)</w:t>
      </w:r>
      <w:r w:rsidR="00050E52">
        <w:fldChar w:fldCharType="end"/>
      </w:r>
      <w:r w:rsidR="00050E52" w:rsidRPr="00DA37A2">
        <w:t xml:space="preserve"> for fungi</w:t>
      </w:r>
      <w:r w:rsidR="005647F8">
        <w:t xml:space="preserve">, using </w:t>
      </w:r>
      <w:r w:rsidRPr="004570DC">
        <w:t>VSEARCH</w:t>
      </w:r>
      <w:r w:rsidR="00A30B82">
        <w:t xml:space="preserve"> </w:t>
      </w:r>
      <w:r w:rsidR="00050E52">
        <w:fldChar w:fldCharType="begin"/>
      </w:r>
      <w:r w:rsidR="00A30B82">
        <w:instrText xml:space="preserve"> ADDIN ZOTERO_ITEM CSL_CITATION {"citationID":"vYZeWNYA","properties":{"formattedCitation":"(Rognes et al., 2016)","plainCitation":"(Rognes et al., 2016)","noteIndex":0},"citationItems":[{"id":6473,"uris":["http://zotero.org/users/9359754/items/JKPYB7LF"],"itemData":{"id":6473,"type":"article-journal","abstract":"Background. VSEARCH is an open source and free of charge multithreaded 64-bit tool for processing and preparing metagenomics, genomics and population genomics nucleotide sequence data. It is designed as an alternative to the widely used USEARCH tool (Edgar, 2010) for which the source code is not publicly available, algorithm details are only rudimentarily described, and only a memory-confined 32-bit version is freely available for academic use.","container-title":"PeerJ","DOI":"10.7717/peerj.2584","ISSN":"2167-8359","language":"en","license":"http://creativecommons.org/licenses/by/4.0/","page":"e2584","source":"DOI.org (Crossref)","title":"VSEARCH: a versatile open source tool for metagenomics","title-short":"VSEARCH","volume":"4","author":[{"family":"Rognes","given":"Torbjørn"},{"family":"Flouri","given":"Tomáš"},{"family":"Nichols","given":"Ben"},{"family":"Quince","given":"Christopher"},{"family":"Mahé","given":"Frédéric"}],"issued":{"date-parts":[["2016",10,18]]},"citation-key":"rognes2016"}}],"schema":"https://github.com/citation-style-language/schema/raw/master/csl-citation.json"} </w:instrText>
      </w:r>
      <w:r w:rsidR="00050E52">
        <w:fldChar w:fldCharType="separate"/>
      </w:r>
      <w:r w:rsidR="00A30B82">
        <w:rPr>
          <w:rFonts w:cs="Times New Roman"/>
        </w:rPr>
        <w:t>(Rognes et al., 2016)</w:t>
      </w:r>
      <w:r w:rsidR="00050E52">
        <w:fldChar w:fldCharType="end"/>
      </w:r>
      <w:r w:rsidRPr="004570DC">
        <w:t>.</w:t>
      </w:r>
      <w:r>
        <w:t xml:space="preserve"> </w:t>
      </w:r>
      <w:r w:rsidR="00A06535">
        <w:t>This step is performed</w:t>
      </w:r>
      <w:r w:rsidR="00E62840">
        <w:t xml:space="preserve"> </w:t>
      </w:r>
      <w:r w:rsidR="00E164C7">
        <w:t xml:space="preserve">separately </w:t>
      </w:r>
      <w:r w:rsidR="00E62840">
        <w:t>for each sequencing run</w:t>
      </w:r>
      <w:r w:rsidR="00CD7E72">
        <w:t>.</w:t>
      </w:r>
      <w:r w:rsidR="00DB6BEB">
        <w:t xml:space="preserve"> ASVs are assigned </w:t>
      </w:r>
      <w:r w:rsidR="0035599F">
        <w:t>a hash, or encryption, of the sequences themselves, so that ASV identifiers are unique to a given sequence, but are the same across all runs</w:t>
      </w:r>
      <w:r w:rsidR="00DB6BEB">
        <w:t xml:space="preserve">. </w:t>
      </w:r>
    </w:p>
    <w:p w14:paraId="7E7B6414" w14:textId="4E1091F4" w:rsidR="00050E52" w:rsidRDefault="00050E52" w:rsidP="00D87226">
      <w:pPr>
        <w:spacing w:line="480" w:lineRule="auto"/>
      </w:pPr>
    </w:p>
    <w:p w14:paraId="6CBC262A" w14:textId="0846999F" w:rsidR="00050E52" w:rsidRDefault="00050E52" w:rsidP="00D87226">
      <w:pPr>
        <w:spacing w:line="480" w:lineRule="auto"/>
        <w:rPr>
          <w:u w:val="single"/>
        </w:rPr>
      </w:pPr>
      <w:r>
        <w:rPr>
          <w:u w:val="single"/>
        </w:rPr>
        <w:t xml:space="preserve">STEP 2: </w:t>
      </w:r>
      <w:r w:rsidR="00D25211">
        <w:rPr>
          <w:u w:val="single"/>
        </w:rPr>
        <w:t>FORMAT ASV AND TAXONOMY TABLES FOR DOWNSTREAM ANALYSIS</w:t>
      </w:r>
    </w:p>
    <w:p w14:paraId="0433B79E" w14:textId="6A55C18E" w:rsidR="00D25211" w:rsidRDefault="0027745B" w:rsidP="00D87226">
      <w:pPr>
        <w:spacing w:line="480" w:lineRule="auto"/>
      </w:pPr>
      <w:r>
        <w:t xml:space="preserve">For analysis of microbial (alpha- and beta-) diversity and relative abundances of microbial (taxonomic or functional) groups across samples, we </w:t>
      </w:r>
      <w:r w:rsidR="009876DF">
        <w:t>create sample type-specific datasets</w:t>
      </w:r>
      <w:r>
        <w:t xml:space="preserve"> that </w:t>
      </w:r>
      <w:r w:rsidR="009876DF">
        <w:t>can be cleaned and</w:t>
      </w:r>
      <w:r>
        <w:t xml:space="preserve"> analyzed </w:t>
      </w:r>
      <w:r w:rsidR="009876DF">
        <w:t>according to their unique properties (i.e., sequencing depth and diversity).</w:t>
      </w:r>
      <w:r w:rsidR="0080328F">
        <w:t xml:space="preserve"> </w:t>
      </w:r>
      <w:r w:rsidR="00A51DB7">
        <w:t>First, t</w:t>
      </w:r>
      <w:r w:rsidR="008249EE">
        <w:t>he output ASV tables</w:t>
      </w:r>
      <w:r w:rsidR="00BF5EC0">
        <w:t xml:space="preserve"> from the BU16S</w:t>
      </w:r>
      <w:r w:rsidR="003C4E49">
        <w:t>-ITS</w:t>
      </w:r>
      <w:r w:rsidR="00BF5EC0">
        <w:t xml:space="preserve"> pipeline</w:t>
      </w:r>
      <w:r w:rsidR="007F6A0E">
        <w:t xml:space="preserve"> – which </w:t>
      </w:r>
      <w:r w:rsidR="008249EE">
        <w:t xml:space="preserve">contain </w:t>
      </w:r>
      <w:r w:rsidR="001D4E1E">
        <w:t>untransformed</w:t>
      </w:r>
      <w:r w:rsidR="001D4E1E" w:rsidRPr="001D4E1E">
        <w:t xml:space="preserve"> counts</w:t>
      </w:r>
      <w:r w:rsidR="001D4E1E">
        <w:t xml:space="preserve"> </w:t>
      </w:r>
      <w:r w:rsidR="008249EE">
        <w:t>of each ASV in each sample</w:t>
      </w:r>
      <w:r w:rsidR="007F6A0E">
        <w:t xml:space="preserve"> – and </w:t>
      </w:r>
      <w:r w:rsidR="00A4105D">
        <w:t xml:space="preserve">the </w:t>
      </w:r>
      <w:r w:rsidR="008249EE">
        <w:t>taxonomy tables</w:t>
      </w:r>
      <w:r w:rsidR="007F6A0E">
        <w:t xml:space="preserve"> – which </w:t>
      </w:r>
      <w:r w:rsidR="008249EE">
        <w:t xml:space="preserve">contain the taxonomic </w:t>
      </w:r>
      <w:r w:rsidR="00CF427A">
        <w:t xml:space="preserve">classification information </w:t>
      </w:r>
      <w:r w:rsidR="008249EE">
        <w:t>for each ASV</w:t>
      </w:r>
      <w:r w:rsidR="007F6A0E">
        <w:t xml:space="preserve"> – are </w:t>
      </w:r>
      <w:r w:rsidR="008249EE">
        <w:t xml:space="preserve">combined across all sequencing runs into one dataset. </w:t>
      </w:r>
      <w:r w:rsidR="00A51DB7">
        <w:t xml:space="preserve">This collects all replicate samples for a sample type into a single file. Because different sample types (e.g. soils vs. leaves) may have different sequencing depths or diversity levels, data from different sample types need to be cleaned and transformed separately to allow for optimal calculation of diversity and relative abundances of taxa. </w:t>
      </w:r>
      <w:r w:rsidR="0095098E">
        <w:t>To accomplish this, the single data file is then</w:t>
      </w:r>
      <w:r w:rsidR="00A51DB7">
        <w:t xml:space="preserve"> </w:t>
      </w:r>
      <w:r w:rsidR="008249EE">
        <w:t xml:space="preserve">separated by </w:t>
      </w:r>
      <w:r w:rsidR="009876DF">
        <w:t>“</w:t>
      </w:r>
      <w:r w:rsidR="008249EE">
        <w:t>sample type</w:t>
      </w:r>
      <w:r w:rsidR="009876DF">
        <w:t>”</w:t>
      </w:r>
      <w:r w:rsidR="008249EE">
        <w:t xml:space="preserve"> for sample</w:t>
      </w:r>
      <w:r w:rsidR="00157730">
        <w:t xml:space="preserve"> type</w:t>
      </w:r>
      <w:r w:rsidR="008249EE">
        <w:t>-specific processing.</w:t>
      </w:r>
      <w:r w:rsidR="009876DF">
        <w:t xml:space="preserve"> </w:t>
      </w:r>
      <w:r w:rsidR="00AE3511">
        <w:t>Each sample type</w:t>
      </w:r>
      <w:r w:rsidR="0088529D">
        <w:t>-specific</w:t>
      </w:r>
      <w:r w:rsidR="00AE3511">
        <w:t xml:space="preserve"> dataset is converted into a phyloseq</w:t>
      </w:r>
      <w:r w:rsidR="00A30B82">
        <w:t xml:space="preserve"> </w:t>
      </w:r>
      <w:r w:rsidR="00AE3511">
        <w:fldChar w:fldCharType="begin"/>
      </w:r>
      <w:r w:rsidR="00A30B82">
        <w:instrText xml:space="preserve"> ADDIN ZOTERO_ITEM CSL_CITATION {"citationID":"sS2A0rvD","properties":{"formattedCitation":"(McMurdie &amp; Holmes, 2013)","plainCitation":"(McMurdie &amp; Holmes, 2013)","noteIndex":0},"citationItems":[{"id":6506,"uris":["http://zotero.org/users/9359754/items/RTICI9YY"],"itemData":{"id":6506,"type":"article-journal","abstract":"Background The analysis of microbial communities through DNA sequencing brings many challenges: the integration of different types of data with methods from ecology, genetics, phylogenetics, multivariate statistics, visualization and testing. With the increased breadth of experimental designs now being pursued, project-specific statistical analyses are often needed, and these analyses are often difficult (or impossible) for peer researchers to independently reproduce. The vast majority of the requisite tools for performing these analyses reproducibly are already implemented in R and its extensions (packages), but with limited support for high throughput microbiome census data. Results Here we describe a software project, phyloseq, dedicated to the object-oriented representation and analysis of microbiome census data in R. It supports importing data from a variety of common formats, as well as many analysis techniques. These include calibration, filtering, subsetting, agglomeration, multi-table comparisons, diversity analysis, parallelized Fast UniFrac, ordination methods, and production of publication-quality graphics; all in a manner that is easy to document, share, and modify. We show how to apply functions from other R packages to phyloseq-represented data, illustrating the availability of a large number of open source analysis techniques. We discuss the use of phyloseq with tools for reproducible research, a practice common in other fields but still rare in the analysis of highly parallel microbiome census data. We have made available all of the materials necessary to completely reproduce the analysis and figures included in this article, an example of best practices for reproducible research. Conclusions The phyloseq project for R is a new open-source software package, freely available on the web from both GitHub and Bioconductor.","container-title":"PLOS ONE","DOI":"10.1371/journal.pone.0061217","ISSN":"1932-6203","issue":"4","journalAbbreviation":"PLOS ONE","language":"en","note":"publisher: Public Library of Science","page":"e61217","source":"PLoS Journals","title":"phyloseq: An R Package for Reproducible Interactive Analysis and Graphics of Microbiome Census Data","title-short":"phyloseq","volume":"8","author":[{"family":"McMurdie","given":"Paul J."},{"family":"Holmes","given":"Susan"}],"issued":{"date-parts":[["2013",4,22]]},"citation-key":"mcmurdie2013"}}],"schema":"https://github.com/citation-style-language/schema/raw/master/csl-citation.json"} </w:instrText>
      </w:r>
      <w:r w:rsidR="00AE3511">
        <w:fldChar w:fldCharType="separate"/>
      </w:r>
      <w:r w:rsidR="00A30B82">
        <w:rPr>
          <w:rFonts w:cs="Times New Roman"/>
        </w:rPr>
        <w:t>(McMurdie &amp; Holmes, 2013)</w:t>
      </w:r>
      <w:r w:rsidR="00AE3511">
        <w:fldChar w:fldCharType="end"/>
      </w:r>
      <w:r w:rsidR="00AE3511">
        <w:t xml:space="preserve"> object for downstream processing. </w:t>
      </w:r>
    </w:p>
    <w:p w14:paraId="76EF67A2" w14:textId="7212E947" w:rsidR="00A72589" w:rsidRDefault="00A72589" w:rsidP="0078390C">
      <w:pPr>
        <w:spacing w:line="480" w:lineRule="auto"/>
        <w:ind w:firstLine="720"/>
      </w:pPr>
      <w:r>
        <w:t>T</w:t>
      </w:r>
      <w:r w:rsidRPr="00DA37A2">
        <w:t xml:space="preserve">o assign taxa to functional groups, fungal genera </w:t>
      </w:r>
      <w:r>
        <w:t>are</w:t>
      </w:r>
      <w:r w:rsidRPr="00DA37A2">
        <w:t xml:space="preserve"> matched to the FungalTraits database</w:t>
      </w:r>
      <w:r>
        <w:t xml:space="preserve"> </w:t>
      </w:r>
      <w:r>
        <w:fldChar w:fldCharType="begin"/>
      </w:r>
      <w:r>
        <w:instrText xml:space="preserve"> ADDIN ZOTERO_ITEM CSL_CITATION {"citationID":"yFkJyrTO","properties":{"formattedCitation":"(P\\uc0\\u245{}lme et al., 2020)","plainCitation":"(Põlme et al., 2020)","noteIndex":0},"citationItems":[{"id":4906,"uris":["http://zotero.org/users/9359754/items/HKG5BLWY"],"itemData":{"id":4906,"type":"article-journal","abstract":"The cryptic lifestyle of most fungi necessitates molecular identification of the guild in environmental studies. Over the past decades, rapid development and affordability of molecular tools have tremendously improved insights of the fungal diversity in all ecosystems and habitats. Yet, in spite of the progress of molecular methods, knowledge about functional properties of the fungal taxa is vague and interpretation of environmental studies in an ecologically meaningful manner remains challenging. In order to facilitate functional assignments and ecological interpretation of environmental studies we introduce a user friendly traits and character database FungalTraits operating at genus and species hypothesis levels. Combining the information from previous efforts such as FUNGuild and FunFun together with involvement of expert knowledge, we reannotated 10,210 and 151 fungal and Stramenopila genera, respectively. This resulted in a stand-alone spreadsheet dataset covering 17 lifestyle related traits of fungal and Stramenopila genera, designed for rapid functional assignments of environmental studies. In order to assign the trait states to fungal species hypotheses, the scientific community of experts manually categorised and assigned available trait information to 697,413 fungal ITS sequences. On the basis of those sequences we were able to summarise trait and host information into 92,623 fungal species hypotheses at 1% dissimilarity threshold.","container-title":"Fungal Diversity","DOI":"10.1007/s13225-020-00466-2","ISSN":"1878-9129","issue":"1","journalAbbreviation":"Fungal Diversity","language":"en","page":"1-16","source":"Springer Link","title":"FungalTraits: a user-friendly traits database of fungi and fungus-like stramenopiles","title-short":"FungalTraits","volume":"105","author":[{"family":"Põlme","given":"Sergei"},{"family":"Abarenkov","given":"Kessy"},{"family":"Henrik Nilsson","given":"R."},{"family":"Lindahl","given":"Björn D."},{"family":"Clemmensen","given":"Karina Engelbrecht"},{"family":"Kauserud","given":"Havard"},{"family":"Nguyen","given":"Nhu"},{"family":"Kjøller","given":"Rasmus"},{"family":"Bates","given":"Scott T."},{"family":"Baldrian","given":"Petr"},{"family":"Frøslev","given":"Tobias Guldberg"},{"family":"Adojaan","given":"Kristjan"},{"family":"Vizzini","given":"Alfredo"},{"family":"Suija","given":"Ave"},{"family":"Pfister","given":"Donald"},{"family":"Baral","given":"Hans-Otto"},{"family":"Järv","given":"Helle"},{"family":"Madrid","given":"Hugo"},{"family":"Nordén","given":"Jenni"},{"family":"Liu","given":"Jian-Kui"},{"family":"Pawlowska","given":"Julia"},{"family":"Põldmaa","given":"Kadri"},{"family":"Pärtel","given":"Kadri"},{"family":"Runnel","given":"Kadri"},{"family":"Hansen","given":"Karen"},{"family":"Larsson","given":"Karl-Henrik"},{"family":"Hyde","given":"Kevin David"},{"family":"Sandoval-Denis","given":"Marcelo"},{"family":"Smith","given":"Matthew E."},{"family":"Toome-Heller","given":"Merje"},{"family":"Wijayawardene","given":"Nalin N."},{"family":"Menolli","given":"Nelson"},{"family":"Reynolds","given":"Nicole K."},{"family":"Drenkhan","given":"Rein"},{"family":"Maharachchikumbura","given":"Sajeewa S. N."},{"family":"Gibertoni","given":"Tatiana B."},{"family":"Læssøe","given":"Thomas"},{"family":"Davis","given":"William"},{"family":"Tokarev","given":"Yuri"},{"family":"Corrales","given":"Adriana"},{"family":"Soares","given":"Adriene Mayra"},{"family":"Agan","given":"Ahto"},{"family":"Machado","given":"Alexandre Reis"},{"family":"Argüelles-Moyao","given":"Andrés"},{"family":"Detheridge","given":"Andrew"},{"family":"Meiras-Ottoni","given":"Angelina","non-dropping-particle":"de"},{"family":"Verbeken","given":"Annemieke"},{"family":"Dutta","given":"Arun Kumar"},{"family":"Cui","given":"Bao-Kai"},{"family":"Pradeep","given":"C. K."},{"family":"Marín","given":"César"},{"family":"Stanton","given":"Daniel"},{"family":"Gohar","given":"Daniyal"},{"family":"Wanasinghe","given":"Dhanushka N."},{"family":"Otsing","given":"Eveli"},{"family":"Aslani","given":"Farzad"},{"family":"Griffith","given":"Gareth W."},{"family":"Lumbsch","given":"Thorsten H."},{"family":"Grossart","given":"Hans-Peter"},{"family":"Masigol","given":"Hossein"},{"family":"Timling","given":"Ina"},{"family":"Hiiesalu","given":"Inga"},{"family":"Oja","given":"Jane"},{"family":"Kupagme","given":"John Y."},{"family":"Geml","given":"József"},{"family":"Alvarez-Manjarrez","given":"Julieta"},{"family":"Ilves","given":"Kai"},{"family":"Loit","given":"Kaire"},{"family":"Adamson","given":"Kalev"},{"family":"Nara","given":"Kazuhide"},{"family":"Küngas","given":"Kati"},{"family":"Rojas-Jimenez","given":"Keilor"},{"family":"Bitenieks","given":"Krišs"},{"family":"Irinyi","given":"Laszlo"},{"family":"Nagy","given":"László G."},{"family":"Soonvald","given":"Liina"},{"family":"Zhou","given":"Li-Wei"},{"family":"Wagner","given":"Lysett"},{"family":"Aime","given":"M. Catherine"},{"family":"Öpik","given":"Maarja"},{"family":"Mujica","given":"María Isabel"},{"family":"Metsoja","given":"Martin"},{"family":"Ryberg","given":"Martin"},{"family":"Vasar","given":"Martti"},{"family":"Murata","given":"Masao"},{"family":"Nelsen","given":"Matthew P."},{"family":"Cleary","given":"Michelle"},{"family":"Samarakoon","given":"Milan C."},{"family":"Doilom","given":"Mingkwan"},{"family":"Bahram","given":"Mohammad"},{"family":"Hagh-Doust","given":"Niloufar"},{"family":"Dulya","given":"Olesya"},{"family":"Johnston","given":"Peter"},{"family":"Kohout","given":"Petr"},{"family":"Chen","given":"Qian"},{"family":"Tian","given":"Qing"},{"family":"Nandi","given":"Rajasree"},{"family":"Amiri","given":"Rasekh"},{"family":"Perera","given":"Rekhani Hansika"},{"family":"Santos Chikowski","given":"Renata","non-dropping-particle":"dos"},{"family":"Mendes-Alvarenga","given":"Renato L."},{"family":"Garibay-Orijel","given":"Roberto"},{"family":"Gielen","given":"Robin"},{"family":"Phookamsak","given":"Rungtiwa"},{"family":"Jayawardena","given":"Ruvishika S."},{"family":"Rahimlou","given":"Saleh"},{"family":"Karunarathna","given":"Samantha C."},{"family":"Tibpromma","given":"Saowaluck"},{"family":"Brown","given":"Shawn P."},{"family":"Sepp","given":"Siim-Kaarel"},{"family":"Mundra","given":"Sunil"},{"family":"Luo","given":"Zhu-Hua"},{"family":"Bose","given":"Tanay"},{"family":"Vahter","given":"Tanel"},{"family":"Netherway","given":"Tarquin"},{"family":"Yang","given":"Teng"},{"family":"May","given":"Tom"},{"family":"Varga","given":"Torda"},{"family":"Li","given":"Wei"},{"family":"Coimbra","given":"Victor Rafael Matos"},{"family":"Oliveira","given":"Virton Rodrigo Targino","non-dropping-particle":"de"},{"family":"Lima","given":"Vitor Xavier","non-dropping-particle":"de"},{"family":"Mikryukov","given":"Vladimir S."},{"family":"Lu","given":"Yongzhong"},{"family":"Matsuda","given":"Yosuke"},{"family":"Miyamoto","given":"Yumiko"},{"family":"Kõljalg","given":"Urmas"},{"family":"Tedersoo","given":"Leho"}],"issued":{"date-parts":[["2020",11,1]]},"citation-key":"polme2020"}}],"schema":"https://github.com/citation-style-language/schema/raw/master/csl-citation.json"} </w:instrText>
      </w:r>
      <w:r>
        <w:fldChar w:fldCharType="separate"/>
      </w:r>
      <w:r w:rsidRPr="00A30B82">
        <w:rPr>
          <w:rFonts w:cs="Times New Roman"/>
        </w:rPr>
        <w:t>(Põlme et al., 2020)</w:t>
      </w:r>
      <w:r>
        <w:fldChar w:fldCharType="end"/>
      </w:r>
      <w:r>
        <w:t xml:space="preserve"> and assigned the corresponding Primary Lifestyle,</w:t>
      </w:r>
      <w:r w:rsidRPr="00DA37A2">
        <w:t xml:space="preserve"> and bacterial </w:t>
      </w:r>
      <w:r>
        <w:t>taxonomy</w:t>
      </w:r>
      <w:r w:rsidRPr="00DA37A2">
        <w:t xml:space="preserve"> w</w:t>
      </w:r>
      <w:r>
        <w:t>as</w:t>
      </w:r>
      <w:r w:rsidRPr="00DA37A2">
        <w:t xml:space="preserve"> compared against an in-house functional database developed based on the presence of genes encoding enzymes involved in specific biochemical pathways, including </w:t>
      </w:r>
      <w:r w:rsidRPr="00DA37A2">
        <w:lastRenderedPageBreak/>
        <w:t>copiotroph, oligotroph, cellulolytic, ligninolytic, methanotroph, chitinolytic, assimilatory nitrite-reducing, dissimilatory-nitrite reducing, assimilatory nitrate-reducing, dissimilatory nitrate-reducing pathways</w:t>
      </w:r>
      <w:r>
        <w:t xml:space="preserve"> </w:t>
      </w:r>
      <w:r>
        <w:fldChar w:fldCharType="begin"/>
      </w:r>
      <w:r w:rsidR="003079B9">
        <w:instrText xml:space="preserve"> ADDIN ZOTERO_ITEM CSL_CITATION {"citationID":"OnF4NYsb","properties":{"formattedCitation":"(Vietorisz et al., 2024; Werbin et al., 2024)","plainCitation":"(Vietorisz et al., 2024; Werbin et al., 2024)","noteIndex":0},"citationItems":[{"id":9028,"uris":["http://zotero.org/users/9359754/items/9XFD2LQY"],"itemData":{"id":9028,"type":"article","abstract":"Microbes play central roles in soil nutrient cycling, yet a limited range of microbial community characteristics have been used to explain ecosystem nutrient cycling rates and their importance relative to plant and abiotic factors remains unclear. In this study, we assessed which of 126 commonly measured soil fungal and bacterial community characteristics best explained soil nitrogen (N) and phosphorus (P) cycling rates in temperate forests in the Northeastern U.S., as well as the relative contributions of microbial, plant, and abiotic factors. Using boosted regression tree modeling, we identified the microbial variables with the highest contributions to models explaining nutrient cycling rates: the relative abundances of ectomycorrhizal fungi and N-decomposition genes from oligotrophic bacteria were the most important for net ammonification, the relative abundances of indicator taxa in bacterial networks, nitrifying bacteria, and copiotrophic bacteria were the most important for net nitrification, and the relative abundance of fungal P-cycling oxidoreductase genes was the most important for net soil phosphate change. Microbial variables explained more variation than plant and abiotic variables in multivariate linear models of net nitrification and net phosphate release rates, but not net ammonification rates, which were largely explained by soil edaphic factors. Leaf litter traits were also important in explaining variation in net nitrification rates, and soil temperature was important in explaining rates of net phosphate release in soil. Collectively, our findings suggest that the N-cycling capacity of microbial functional guilds and fungal community P-cycling capacity should be incorporated into ecosystem biogeochemical models to improve our predictions and understanding of nutrient cycling and related ecological processes.","DOI":"10.1101/2024.12.13.627780","language":"en","license":"© 2024, Posted by Cold Spring Harbor Laboratory. This pre-print is available under a Creative Commons License (Attribution-NonCommercial-NoDerivs 4.0 International), CC BY-NC-ND 4.0, as described at http://creativecommons.org/licenses/by-nc-nd/4.0/","note":"page: 2024.12.13.627780\nsection: New Results","publisher":"bioRxiv","source":"bioRxiv","title":"Microbial functional guilds and genes are key to explaining soil nutrient cycling alongside soil and plant variables","URL":"https://www.biorxiv.org/content/10.1101/2024.12.13.627780v1","author":[{"family":"Vietorisz","given":"Corinne"},{"family":"Policelli","given":"Nahuel"},{"family":"Li","given":"Abigail"},{"family":"Adams","given":"Lindsey A."},{"family":"Bhatnagar","given":"Jennifer M."}],"accessed":{"date-parts":[["2025",8,4]]},"issued":{"date-parts":[["2024",12,16]]},"citation-key":"vietorisz2024"}},{"id":7236,"uris":["http://zotero.org/users/9359754/items/3NRCBZGP"],"itemData":{"id":7236,"type":"article","abstract":"Despite the critical role of soil microorganisms in ecosystem processes, it is unclear how well we can anticipate changes in the Earth&amp;#039;s microbiome before they occur. To test this, we integrated continental-scale, standardized soil genomic and environmental surveys to develop the first forecasts of soil microorganisms across biomes and time. We find that the abundance of fungi and bacteria can be predicted with 50% and 91% accuracy, respectively, for up to a year ahead of time, by simulating seasonal cycles in taxon abundances. Forecasts perform best for microbes grouped at broad taxonomic ranks or by ecological groups, such as decomposers and plant symbionts, and the presence of plant-associated seasonal cycles increases the predictability of microbial groups. We highlight strengths and weaknesses in our capacity to predict the future of microorganisms on Earth and propose future directions to improve longer-term projections of soil organisms and the processes they drive.","DOI":"10.21203/rs.3.rs-5183308/v1","note":"ISSN: 2693-5015","publisher":"Research Square","source":"Research Square","title":"Forecasting the soil microbiome at a continental scale","URL":"https://www.researchsquare.com/article/rs-5183308/v1","author":[{"family":"Werbin","given":"Zoey"},{"family":"Averill","given":"Colin"},{"family":"Bhatnagar","given":"Jennifer"},{"family":"Dietze","given":"Michael"}],"accessed":{"date-parts":[["2024",11,14]]},"issued":{"date-parts":[["2024",11,13]]},"citation-key":"werbin2024"}}],"schema":"https://github.com/citation-style-language/schema/raw/master/csl-citation.json"} </w:instrText>
      </w:r>
      <w:r>
        <w:fldChar w:fldCharType="separate"/>
      </w:r>
      <w:r w:rsidR="003079B9">
        <w:rPr>
          <w:noProof/>
        </w:rPr>
        <w:t>(Vietorisz et al., 2024; Werbin et al., 2024)</w:t>
      </w:r>
      <w:r>
        <w:fldChar w:fldCharType="end"/>
      </w:r>
      <w:r w:rsidRPr="00DA37A2">
        <w:t xml:space="preserve">. </w:t>
      </w:r>
      <w:r>
        <w:t xml:space="preserve">Fungal plant pathogens are assigned to genera identified by the FungalTraits database </w:t>
      </w:r>
      <w:r>
        <w:fldChar w:fldCharType="begin"/>
      </w:r>
      <w:r>
        <w:instrText xml:space="preserve"> ADDIN ZOTERO_ITEM CSL_CITATION {"citationID":"7AOKsCO0","properties":{"formattedCitation":"(P\\uc0\\u245{}lme et al., 2020)","plainCitation":"(Põlme et al., 2020)","noteIndex":0},"citationItems":[{"id":4906,"uris":["http://zotero.org/users/9359754/items/HKG5BLWY"],"itemData":{"id":4906,"type":"article-journal","abstract":"The cryptic lifestyle of most fungi necessitates molecular identification of the guild in environmental studies. Over the past decades, rapid development and affordability of molecular tools have tremendously improved insights of the fungal diversity in all ecosystems and habitats. Yet, in spite of the progress of molecular methods, knowledge about functional properties of the fungal taxa is vague and interpretation of environmental studies in an ecologically meaningful manner remains challenging. In order to facilitate functional assignments and ecological interpretation of environmental studies we introduce a user friendly traits and character database FungalTraits operating at genus and species hypothesis levels. Combining the information from previous efforts such as FUNGuild and FunFun together with involvement of expert knowledge, we reannotated 10,210 and 151 fungal and Stramenopila genera, respectively. This resulted in a stand-alone spreadsheet dataset covering 17 lifestyle related traits of fungal and Stramenopila genera, designed for rapid functional assignments of environmental studies. In order to assign the trait states to fungal species hypotheses, the scientific community of experts manually categorised and assigned available trait information to 697,413 fungal ITS sequences. On the basis of those sequences we were able to summarise trait and host information into 92,623 fungal species hypotheses at 1% dissimilarity threshold.","container-title":"Fungal Diversity","DOI":"10.1007/s13225-020-00466-2","ISSN":"1878-9129","issue":"1","journalAbbreviation":"Fungal Diversity","language":"en","page":"1-16","source":"Springer Link","title":"FungalTraits: a user-friendly traits database of fungi and fungus-like stramenopiles","title-short":"FungalTraits","volume":"105","author":[{"family":"Põlme","given":"Sergei"},{"family":"Abarenkov","given":"Kessy"},{"family":"Henrik Nilsson","given":"R."},{"family":"Lindahl","given":"Björn D."},{"family":"Clemmensen","given":"Karina Engelbrecht"},{"family":"Kauserud","given":"Havard"},{"family":"Nguyen","given":"Nhu"},{"family":"Kjøller","given":"Rasmus"},{"family":"Bates","given":"Scott T."},{"family":"Baldrian","given":"Petr"},{"family":"Frøslev","given":"Tobias Guldberg"},{"family":"Adojaan","given":"Kristjan"},{"family":"Vizzini","given":"Alfredo"},{"family":"Suija","given":"Ave"},{"family":"Pfister","given":"Donald"},{"family":"Baral","given":"Hans-Otto"},{"family":"Järv","given":"Helle"},{"family":"Madrid","given":"Hugo"},{"family":"Nordén","given":"Jenni"},{"family":"Liu","given":"Jian-Kui"},{"family":"Pawlowska","given":"Julia"},{"family":"Põldmaa","given":"Kadri"},{"family":"Pärtel","given":"Kadri"},{"family":"Runnel","given":"Kadri"},{"family":"Hansen","given":"Karen"},{"family":"Larsson","given":"Karl-Henrik"},{"family":"Hyde","given":"Kevin David"},{"family":"Sandoval-Denis","given":"Marcelo"},{"family":"Smith","given":"Matthew E."},{"family":"Toome-Heller","given":"Merje"},{"family":"Wijayawardene","given":"Nalin N."},{"family":"Menolli","given":"Nelson"},{"family":"Reynolds","given":"Nicole K."},{"family":"Drenkhan","given":"Rein"},{"family":"Maharachchikumbura","given":"Sajeewa S. N."},{"family":"Gibertoni","given":"Tatiana B."},{"family":"Læssøe","given":"Thomas"},{"family":"Davis","given":"William"},{"family":"Tokarev","given":"Yuri"},{"family":"Corrales","given":"Adriana"},{"family":"Soares","given":"Adriene Mayra"},{"family":"Agan","given":"Ahto"},{"family":"Machado","given":"Alexandre Reis"},{"family":"Argüelles-Moyao","given":"Andrés"},{"family":"Detheridge","given":"Andrew"},{"family":"Meiras-Ottoni","given":"Angelina","non-dropping-particle":"de"},{"family":"Verbeken","given":"Annemieke"},{"family":"Dutta","given":"Arun Kumar"},{"family":"Cui","given":"Bao-Kai"},{"family":"Pradeep","given":"C. K."},{"family":"Marín","given":"César"},{"family":"Stanton","given":"Daniel"},{"family":"Gohar","given":"Daniyal"},{"family":"Wanasinghe","given":"Dhanushka N."},{"family":"Otsing","given":"Eveli"},{"family":"Aslani","given":"Farzad"},{"family":"Griffith","given":"Gareth W."},{"family":"Lumbsch","given":"Thorsten H."},{"family":"Grossart","given":"Hans-Peter"},{"family":"Masigol","given":"Hossein"},{"family":"Timling","given":"Ina"},{"family":"Hiiesalu","given":"Inga"},{"family":"Oja","given":"Jane"},{"family":"Kupagme","given":"John Y."},{"family":"Geml","given":"József"},{"family":"Alvarez-Manjarrez","given":"Julieta"},{"family":"Ilves","given":"Kai"},{"family":"Loit","given":"Kaire"},{"family":"Adamson","given":"Kalev"},{"family":"Nara","given":"Kazuhide"},{"family":"Küngas","given":"Kati"},{"family":"Rojas-Jimenez","given":"Keilor"},{"family":"Bitenieks","given":"Krišs"},{"family":"Irinyi","given":"Laszlo"},{"family":"Nagy","given":"László G."},{"family":"Soonvald","given":"Liina"},{"family":"Zhou","given":"Li-Wei"},{"family":"Wagner","given":"Lysett"},{"family":"Aime","given":"M. Catherine"},{"family":"Öpik","given":"Maarja"},{"family":"Mujica","given":"María Isabel"},{"family":"Metsoja","given":"Martin"},{"family":"Ryberg","given":"Martin"},{"family":"Vasar","given":"Martti"},{"family":"Murata","given":"Masao"},{"family":"Nelsen","given":"Matthew P."},{"family":"Cleary","given":"Michelle"},{"family":"Samarakoon","given":"Milan C."},{"family":"Doilom","given":"Mingkwan"},{"family":"Bahram","given":"Mohammad"},{"family":"Hagh-Doust","given":"Niloufar"},{"family":"Dulya","given":"Olesya"},{"family":"Johnston","given":"Peter"},{"family":"Kohout","given":"Petr"},{"family":"Chen","given":"Qian"},{"family":"Tian","given":"Qing"},{"family":"Nandi","given":"Rajasree"},{"family":"Amiri","given":"Rasekh"},{"family":"Perera","given":"Rekhani Hansika"},{"family":"Santos Chikowski","given":"Renata","non-dropping-particle":"dos"},{"family":"Mendes-Alvarenga","given":"Renato L."},{"family":"Garibay-Orijel","given":"Roberto"},{"family":"Gielen","given":"Robin"},{"family":"Phookamsak","given":"Rungtiwa"},{"family":"Jayawardena","given":"Ruvishika S."},{"family":"Rahimlou","given":"Saleh"},{"family":"Karunarathna","given":"Samantha C."},{"family":"Tibpromma","given":"Saowaluck"},{"family":"Brown","given":"Shawn P."},{"family":"Sepp","given":"Siim-Kaarel"},{"family":"Mundra","given":"Sunil"},{"family":"Luo","given":"Zhu-Hua"},{"family":"Bose","given":"Tanay"},{"family":"Vahter","given":"Tanel"},{"family":"Netherway","given":"Tarquin"},{"family":"Yang","given":"Teng"},{"family":"May","given":"Tom"},{"family":"Varga","given":"Torda"},{"family":"Li","given":"Wei"},{"family":"Coimbra","given":"Victor Rafael Matos"},{"family":"Oliveira","given":"Virton Rodrigo Targino","non-dropping-particle":"de"},{"family":"Lima","given":"Vitor Xavier","non-dropping-particle":"de"},{"family":"Mikryukov","given":"Vladimir S."},{"family":"Lu","given":"Yongzhong"},{"family":"Matsuda","given":"Yosuke"},{"family":"Miyamoto","given":"Yumiko"},{"family":"Kõljalg","given":"Urmas"},{"family":"Tedersoo","given":"Leho"}],"issued":{"date-parts":[["2020",11,1]]},"citation-key":"polme2020"}}],"schema":"https://github.com/citation-style-language/schema/raw/master/csl-citation.json"} </w:instrText>
      </w:r>
      <w:r>
        <w:fldChar w:fldCharType="separate"/>
      </w:r>
      <w:r w:rsidRPr="00FA0040">
        <w:rPr>
          <w:rFonts w:cs="Times New Roman"/>
        </w:rPr>
        <w:t>(Põlme et al., 2020)</w:t>
      </w:r>
      <w:r>
        <w:fldChar w:fldCharType="end"/>
      </w:r>
      <w:r>
        <w:t xml:space="preserve"> with any plant pathogenic capacity description, while fungal animal pathogens are assigned to genera identified by the FungalTraits database with an animal biotrophic capacity description. </w:t>
      </w:r>
      <w:r w:rsidRPr="00DA37A2">
        <w:t>To</w:t>
      </w:r>
      <w:bookmarkStart w:id="0" w:name="_GoBack"/>
      <w:bookmarkEnd w:id="0"/>
      <w:r w:rsidRPr="00DA37A2">
        <w:t xml:space="preserve"> assign pathogen status to bacterial ASVs, representative sequences </w:t>
      </w:r>
      <w:r>
        <w:t>are</w:t>
      </w:r>
      <w:r w:rsidRPr="00DA37A2">
        <w:t xml:space="preserve"> </w:t>
      </w:r>
      <w:r>
        <w:t>mapped to</w:t>
      </w:r>
      <w:r w:rsidRPr="00DA37A2">
        <w:t xml:space="preserve"> the Multiple Bacterial Pathogen Detection database</w:t>
      </w:r>
      <w:r>
        <w:t xml:space="preserve"> </w:t>
      </w:r>
      <w:r>
        <w:fldChar w:fldCharType="begin"/>
      </w:r>
      <w:r>
        <w:instrText xml:space="preserve"> ADDIN ZOTERO_ITEM CSL_CITATION {"citationID":"nC8c4OiK","properties":{"formattedCitation":"(X. Yang et al., 2023)","plainCitation":"(X. Yang et al., 2023)","noteIndex":0},"citationItems":[{"id":5998,"uris":["http://zotero.org/users/9359754/items/I8XTTSJQ"],"itemData":{"id":5998,"type":"article-journal","abstract":"Bacterial pathogens are one of the major threats to biosafety and environmental health, and advanced assessment is a prerequisite to combating bacterial pathogens. Currently, 16S rRNA gene sequencing is efficient in the open-view detection of bacterial pathogens. However, the taxonomic resolution and applicability of this method are limited by the domain-specific pathogen database, taxonomic profiling method, and sequencing target of 16S variable regions. Here, we present a pipeline of multiple bacterial pathogen detection (MBPD) to identify the animal, plant, and zoonotic pathogens. MBPD is based on a large, curated database of the full-length 16S genes of 1986 reported bacterial pathogen species covering 72,685 sequences. In silico comparison allowed MBPD to provide the appropriate similarity threshold for both full-length and variable-region sequencing platforms, while the subregion of V3−V4 (mean: 88.37%, accuracy rate compared to V1−V9) outperformed other variable regions in pathogen identification compared to full-length sequencing. Benchmarking on real data sets suggested the superiority of MBPD in a broader range of pathogen detections compared with other methods, including 16SPIP and MIP. Beyond detecting the known causal agent of animal, human, and plant diseases, MBPD is capable of identifying cocontaminating pathogens from biological and environmental samples. Overall, we provide a MBPD pipeline for agricultural, veterinary, medical, and environmental monitoring to achieve One Health.","container-title":"iMeta","DOI":"10.1002/imt2.82","ISSN":"2770-596X","issue":"1","language":"en","license":"© 2023 The Authors. iMeta published by John Wiley &amp; Sons Australia, Ltd on behalf of iMeta Science.","note":"_eprint: https://onlinelibrary.wiley.com/doi/pdf/10.1002/imt2.82","page":"e82","source":"Wiley Online Library","title":"MBPD: A multiple bacterial pathogen detection pipeline for One Health practices","title-short":"MBPD","volume":"2","author":[{"family":"Yang","given":"Xinrun"},{"family":"Jiang","given":"Gaofei"},{"family":"Zhang","given":"Yaozhong"},{"family":"Wang","given":"Ningqi"},{"family":"Zhang","given":"Yuling"},{"family":"Wang","given":"Xiaofang"},{"family":"Zhao","given":"Fang-Jie"},{"family":"Xu","given":"Yangchun"},{"family":"Shen","given":"Qirong"},{"family":"Wei","given":"Zhong"}],"issued":{"date-parts":[["2023"]]},"citation-key":"yang2023c"}}],"schema":"https://github.com/citation-style-language/schema/raw/master/csl-citation.json"} </w:instrText>
      </w:r>
      <w:r>
        <w:fldChar w:fldCharType="separate"/>
      </w:r>
      <w:r>
        <w:rPr>
          <w:rFonts w:cs="Times New Roman"/>
        </w:rPr>
        <w:t>(X. Yang et al., 2023)</w:t>
      </w:r>
      <w:r>
        <w:fldChar w:fldCharType="end"/>
      </w:r>
      <w:r w:rsidRPr="00DA37A2">
        <w:t xml:space="preserve"> </w:t>
      </w:r>
      <w:r>
        <w:t xml:space="preserve">using the blastn algorithm </w:t>
      </w:r>
      <w:r w:rsidRPr="00DA37A2">
        <w:t>and classified with 95% or greater sequence identity</w:t>
      </w:r>
      <w:r>
        <w:t>.</w:t>
      </w:r>
    </w:p>
    <w:p w14:paraId="4B8C57B5" w14:textId="77777777" w:rsidR="00567418" w:rsidRDefault="00567418" w:rsidP="00D87226">
      <w:pPr>
        <w:spacing w:line="480" w:lineRule="auto"/>
      </w:pPr>
    </w:p>
    <w:p w14:paraId="5FC5A448" w14:textId="7281D2C3" w:rsidR="00D25211" w:rsidRDefault="00D25211" w:rsidP="00D87226">
      <w:pPr>
        <w:spacing w:line="480" w:lineRule="auto"/>
        <w:rPr>
          <w:u w:val="single"/>
        </w:rPr>
      </w:pPr>
      <w:r>
        <w:rPr>
          <w:u w:val="single"/>
        </w:rPr>
        <w:t xml:space="preserve">STEP 3: FILTER </w:t>
      </w:r>
      <w:r w:rsidR="00831A24">
        <w:rPr>
          <w:u w:val="single"/>
        </w:rPr>
        <w:t xml:space="preserve">OUT </w:t>
      </w:r>
      <w:r>
        <w:rPr>
          <w:u w:val="single"/>
        </w:rPr>
        <w:t xml:space="preserve">LOW-READ </w:t>
      </w:r>
      <w:r w:rsidR="007F5740">
        <w:rPr>
          <w:u w:val="single"/>
        </w:rPr>
        <w:t>SAMPLES</w:t>
      </w:r>
    </w:p>
    <w:p w14:paraId="43F6CFAB" w14:textId="2CFD5FC4" w:rsidR="004D430B" w:rsidRDefault="00EF1787" w:rsidP="0013631E">
      <w:pPr>
        <w:spacing w:line="480" w:lineRule="auto"/>
      </w:pPr>
      <w:r>
        <w:t>The total number of counts observed for a sample (</w:t>
      </w:r>
      <w:r w:rsidR="00467974">
        <w:t>i.e.</w:t>
      </w:r>
      <w:r>
        <w:t>, read depth) has strong effects on community dissimilarity calculations: for example, s</w:t>
      </w:r>
      <w:r w:rsidR="00301451">
        <w:t xml:space="preserve">amples with low numbers of reads </w:t>
      </w:r>
      <w:r w:rsidR="00CC0301">
        <w:t>often show high beta diversity, or dissimilarity in community composition from other samples</w:t>
      </w:r>
      <w:r w:rsidR="00467974">
        <w:t xml:space="preserve"> </w:t>
      </w:r>
      <w:r w:rsidR="00467974">
        <w:fldChar w:fldCharType="begin"/>
      </w:r>
      <w:r w:rsidR="00467974">
        <w:instrText xml:space="preserve"> ADDIN ZOTERO_ITEM CSL_CITATION {"citationID":"AxqTuixp","properties":{"formattedCitation":"(McMurdie &amp; Holmes, 2014)","plainCitation":"(McMurdie &amp; Holmes, 2014)","noteIndex":0},"citationItems":[{"id":9011,"uris":["http://zotero.org/users/9359754/items/BE6LY8ZN"],"itemData":{"id":9011,"type":"article-journal","abstract":"Current practice in the normalization of microbiome count data is inefficient in the statistical sense. For apparently historical reasons, the common approach is either to use simple proportions (which does not address heteroscedasticity) or to use rarefying of counts, even though both of these approaches are inappropriate for detection of differentially abundant species. Well-established statistical theory is available that simultaneously accounts for library size differences and biological variability using an appropriate mixture model. Moreover, specific implementations for DNA sequencing read count data (based on a Negative Binomial model for instance) are already available in RNA-Seq focused R packages such as edgeR and DESeq. Here we summarize the supporting statistical theory and use simulations and empirical data to demonstrate substantial improvements provided by a relevant mixture model framework over simple proportions or rarefying. We show how both proportions and rarefied counts result in a high rate of false positives in tests for species that are differentially abundant across sample classes. Regarding microbiome sample-wise clustering, we also show that the rarefying procedure often discards samples that can be accurately clustered by alternative methods. We further compare different Negative Binomial methods with a recently-described zero-inflated Gaussian mixture, implemented in a package called metagenomeSeq. We find that metagenomeSeq performs well when there is an adequate number of biological replicates, but it nevertheless tends toward a higher false positive rate. Based on these results and well-established statistical theory, we advocate that investigators avoid rarefying altogether. We have provided microbiome-specific extensions to these tools in the R package, phyloseq.","container-title":"PLOS Computational Biology","DOI":"10.1371/journal.pcbi.1003531","ISSN":"1553-7358","issue":"4","journalAbbreviation":"PLOS Computational Biology","language":"en","note":"publisher: Public Library of Science","page":"e1003531","source":"PLoS Journals","title":"Waste Not, Want Not: Why Rarefying Microbiome Data Is Inadmissible","title-short":"Waste Not, Want Not","volume":"10","author":[{"family":"McMurdie","given":"Paul J."},{"family":"Holmes","given":"Susan"}],"issued":{"date-parts":[["2014",4,3]]},"citation-key":"mcmurdie2014"}}],"schema":"https://github.com/citation-style-language/schema/raw/master/csl-citation.json"} </w:instrText>
      </w:r>
      <w:r w:rsidR="00467974">
        <w:fldChar w:fldCharType="separate"/>
      </w:r>
      <w:r w:rsidR="00467974">
        <w:rPr>
          <w:noProof/>
        </w:rPr>
        <w:t>(McMurdie &amp; Holmes, 2014)</w:t>
      </w:r>
      <w:r w:rsidR="00467974">
        <w:fldChar w:fldCharType="end"/>
      </w:r>
      <w:r w:rsidR="00CC0301">
        <w:t>. This community dissimilarity may also be related to other properties of the sample (e.g., environmental condition from which the sample was collected</w:t>
      </w:r>
      <w:r w:rsidR="00406E6B">
        <w:t xml:space="preserve">, </w:t>
      </w:r>
      <w:r w:rsidR="00406E6B" w:rsidRPr="0078390C">
        <w:rPr>
          <w:bCs/>
        </w:rPr>
        <w:t xml:space="preserve">Figure </w:t>
      </w:r>
      <w:r w:rsidR="00510C91" w:rsidRPr="0078390C">
        <w:rPr>
          <w:bCs/>
        </w:rPr>
        <w:t>2</w:t>
      </w:r>
      <w:r w:rsidR="00CC0301">
        <w:t xml:space="preserve">), but it is impossible to confirm this if the sample sequenced poorly. </w:t>
      </w:r>
      <w:r w:rsidR="004D430B">
        <w:t xml:space="preserve">Consequently, detection of potentially </w:t>
      </w:r>
      <w:r w:rsidR="007675E9">
        <w:t>environmentally meaningful</w:t>
      </w:r>
      <w:r w:rsidR="004D430B">
        <w:t xml:space="preserve"> community differences between samples requires that we remove samples that have very low sequence (or read) counts </w:t>
      </w:r>
      <w:r w:rsidR="007E1949">
        <w:t xml:space="preserve">(STEP 3) </w:t>
      </w:r>
      <w:r w:rsidR="004D430B">
        <w:t>after the quality control steps outlined above</w:t>
      </w:r>
      <w:r>
        <w:t xml:space="preserve">, </w:t>
      </w:r>
      <w:r w:rsidR="00576CEA">
        <w:t>then transform the data</w:t>
      </w:r>
      <w:r>
        <w:t xml:space="preserve"> to “normalize” counts across samples </w:t>
      </w:r>
      <w:r w:rsidR="000216BA">
        <w:t xml:space="preserve">(STEP </w:t>
      </w:r>
      <w:r w:rsidR="007F2FF9">
        <w:t>5</w:t>
      </w:r>
      <w:r w:rsidR="000216BA">
        <w:t xml:space="preserve">) </w:t>
      </w:r>
      <w:r>
        <w:t>by further reducing the effects of variable read depths</w:t>
      </w:r>
      <w:r w:rsidR="00467974">
        <w:t xml:space="preserve"> </w:t>
      </w:r>
      <w:r w:rsidR="00467974">
        <w:fldChar w:fldCharType="begin"/>
      </w:r>
      <w:r w:rsidR="00467974">
        <w:instrText xml:space="preserve"> ADDIN ZOTERO_ITEM CSL_CITATION {"citationID":"eHW6pu1J","properties":{"formattedCitation":"(Gloor et al., 2017)","plainCitation":"(Gloor et al., 2017)","noteIndex":0},"citationItems":[{"id":5417,"uris":["http://zotero.org/users/9359754/items/Q7HBBU9F"],"itemData":{"id":5417,"type":"article-journal","abstract":"Datasets collected by high-throughput sequencing (HTS) of 16S rRNA gene amplimers, metagenomes or metatranscriptomes are commonplace and being used to study human disease states, ecological differences between sites, and the built environment. There is increasing awareness that microbiome datasets generated by HTS are compositional because they have an arbitrary total imposed by the instrument. However, many investigators are either unaware of this or assume specific properties of the compositional data. The purpose of this review is to alert investigators to the dangers inherent in ignoring the compositional nature of the data, and point out that HTS datasets derived from microbiome studies can and should be treated as compositions at all stages of analysis. We briefly introduce compositional data, illustrate the pathologies that occur when compositional data are analyzed inappropriately, and finally give guidance and point to resources and examples for the analysis of microbiome datasets using compositional data analysis.","container-title":"Frontiers in Microbiology","ISSN":"1664-302X","source":"Frontiers","title":"Microbiome Datasets Are Compositional: And This Is Not Optional","title-short":"Microbiome Datasets Are Compositional","URL":"https://www.frontiersin.org/articles/10.3389/fmicb.2017.02224","volume":"8","author":[{"family":"Gloor","given":"Gregory B."},{"family":"Macklaim","given":"Jean M."},{"family":"Pawlowsky-Glahn","given":"Vera"},{"family":"Egozcue","given":"Juan J."}],"accessed":{"date-parts":[["2023",10,6]]},"issued":{"date-parts":[["2017"]]},"citation-key":"gloor2017"}}],"schema":"https://github.com/citation-style-language/schema/raw/master/csl-citation.json"} </w:instrText>
      </w:r>
      <w:r w:rsidR="00467974">
        <w:fldChar w:fldCharType="separate"/>
      </w:r>
      <w:r w:rsidR="00467974">
        <w:rPr>
          <w:noProof/>
        </w:rPr>
        <w:t>(Gloor et al., 2017)</w:t>
      </w:r>
      <w:r w:rsidR="00467974">
        <w:fldChar w:fldCharType="end"/>
      </w:r>
      <w:r w:rsidR="004D430B">
        <w:t xml:space="preserve">. </w:t>
      </w:r>
      <w:r w:rsidR="00863544">
        <w:t xml:space="preserve">STEP 5 is conducted after contaminating ASVs are removed (STEP 4). </w:t>
      </w:r>
    </w:p>
    <w:p w14:paraId="0F4FB560" w14:textId="1378540D" w:rsidR="00C0646C" w:rsidRDefault="00C0646C" w:rsidP="0013631E">
      <w:pPr>
        <w:spacing w:line="480" w:lineRule="auto"/>
      </w:pPr>
    </w:p>
    <w:p w14:paraId="0A3D3D15" w14:textId="0BF83AE8" w:rsidR="00C0646C" w:rsidRDefault="00C0646C" w:rsidP="00C0646C">
      <w:pPr>
        <w:spacing w:line="480" w:lineRule="auto"/>
        <w:jc w:val="center"/>
      </w:pPr>
      <w:r>
        <w:rPr>
          <w:noProof/>
        </w:rPr>
        <w:lastRenderedPageBreak/>
        <w:drawing>
          <wp:inline distT="0" distB="0" distL="0" distR="0" wp14:anchorId="760DFA93" wp14:editId="598B1B0A">
            <wp:extent cx="3938493" cy="53949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png"/>
                    <pic:cNvPicPr/>
                  </pic:nvPicPr>
                  <pic:blipFill rotWithShape="1">
                    <a:blip r:embed="rId6">
                      <a:extLst>
                        <a:ext uri="{28A0092B-C50C-407E-A947-70E740481C1C}">
                          <a14:useLocalDpi xmlns:a14="http://schemas.microsoft.com/office/drawing/2010/main" val="0"/>
                        </a:ext>
                      </a:extLst>
                    </a:blip>
                    <a:srcRect l="15478" t="17242" r="12679" b="17151"/>
                    <a:stretch/>
                  </pic:blipFill>
                  <pic:spPr bwMode="auto">
                    <a:xfrm>
                      <a:off x="0" y="0"/>
                      <a:ext cx="3941543" cy="5399138"/>
                    </a:xfrm>
                    <a:prstGeom prst="rect">
                      <a:avLst/>
                    </a:prstGeom>
                    <a:ln>
                      <a:noFill/>
                    </a:ln>
                    <a:extLst>
                      <a:ext uri="{53640926-AAD7-44D8-BBD7-CCE9431645EC}">
                        <a14:shadowObscured xmlns:a14="http://schemas.microsoft.com/office/drawing/2010/main"/>
                      </a:ext>
                    </a:extLst>
                  </pic:spPr>
                </pic:pic>
              </a:graphicData>
            </a:graphic>
          </wp:inline>
        </w:drawing>
      </w:r>
    </w:p>
    <w:p w14:paraId="4CF87AC5" w14:textId="6E2CAF8C" w:rsidR="00C0646C" w:rsidRDefault="00C0646C" w:rsidP="00C0646C">
      <w:pPr>
        <w:spacing w:line="480" w:lineRule="auto"/>
      </w:pPr>
      <w:r>
        <w:rPr>
          <w:b/>
        </w:rPr>
        <w:t xml:space="preserve">Fig 2: </w:t>
      </w:r>
      <w:r>
        <w:t xml:space="preserve">Example NMDS output during the </w:t>
      </w:r>
      <w:r w:rsidR="00F56E59">
        <w:t>sample</w:t>
      </w:r>
      <w:r>
        <w:t xml:space="preserve"> filtration step. (a) An NMDS used to identify outlier</w:t>
      </w:r>
      <w:r w:rsidR="00F56E59">
        <w:t xml:space="preserve"> samples. In this example, the sample IDs which are clearly visible and among the fringes of the figure, including SW08_QR_O_edge_O1_16S_S128, were identified as outliers. (b) Multiple NMDS plots used to see the data structure with respect to multiple variables, including sequencing batch, sequencing depth (seq_bin), treatment (tree_pit_type), and host species (tree_species). These plots are re-made and compared as samples are dropped to ensure that the overall structure of the data does not change during sample filtration. </w:t>
      </w:r>
    </w:p>
    <w:p w14:paraId="29829FD8" w14:textId="77777777" w:rsidR="00F56E59" w:rsidRPr="00C0646C" w:rsidRDefault="00F56E59" w:rsidP="00C0646C">
      <w:pPr>
        <w:spacing w:line="480" w:lineRule="auto"/>
      </w:pPr>
    </w:p>
    <w:p w14:paraId="7A81F835" w14:textId="613CBB0F" w:rsidR="00AD78D0" w:rsidRDefault="00AD78D0" w:rsidP="0063205A">
      <w:pPr>
        <w:spacing w:line="480" w:lineRule="auto"/>
        <w:ind w:firstLine="720"/>
      </w:pPr>
      <w:r>
        <w:lastRenderedPageBreak/>
        <w:t xml:space="preserve">In the first </w:t>
      </w:r>
      <w:r w:rsidR="00175A40">
        <w:t>component</w:t>
      </w:r>
      <w:r>
        <w:t xml:space="preserve"> of this process, we identify the effect of sequencing depth on beta diversity of microbial communities for individual amplicon datasets (e.g., 16S vs. ITS)</w:t>
      </w:r>
      <w:r w:rsidR="00923625">
        <w:t xml:space="preserve"> and remove low-read samples</w:t>
      </w:r>
      <w:r w:rsidR="001C56E5">
        <w:t xml:space="preserve"> that have </w:t>
      </w:r>
      <w:r w:rsidR="00F32CB7">
        <w:t xml:space="preserve">a highly </w:t>
      </w:r>
      <w:r w:rsidR="001C56E5">
        <w:t xml:space="preserve">unique microbial community composition, primarily because of sequencing depth (or read number), rather than other properties of the sample. </w:t>
      </w:r>
      <w:r w:rsidR="00F32CB7">
        <w:t xml:space="preserve">Unique community composition </w:t>
      </w:r>
      <w:r w:rsidR="008D3034">
        <w:t xml:space="preserve">in low-read samples </w:t>
      </w:r>
      <w:r w:rsidR="00F32CB7">
        <w:t>is detected as an “outlier” in ordination plots of community dissimilarity between samples, using the raw ASV table</w:t>
      </w:r>
      <w:r w:rsidR="0041772F">
        <w:t xml:space="preserve"> (in phyloseq format)</w:t>
      </w:r>
      <w:r w:rsidR="00F32CB7">
        <w:t xml:space="preserve"> </w:t>
      </w:r>
      <w:r w:rsidR="0041772F">
        <w:t>generated from</w:t>
      </w:r>
      <w:r w:rsidR="00F32CB7">
        <w:t xml:space="preserve"> the previous Formatting step</w:t>
      </w:r>
      <w:r w:rsidR="001B2ABE">
        <w:t xml:space="preserve"> (STEP 2)</w:t>
      </w:r>
      <w:r w:rsidR="00F32CB7">
        <w:t xml:space="preserve"> in the </w:t>
      </w:r>
      <w:r w:rsidR="00D5795B">
        <w:t>protocol</w:t>
      </w:r>
      <w:r w:rsidR="00BA521E">
        <w:t xml:space="preserve"> as input data</w:t>
      </w:r>
      <w:r w:rsidR="00F32CB7">
        <w:t xml:space="preserve">. </w:t>
      </w:r>
      <w:r w:rsidR="00550A3E">
        <w:t>T</w:t>
      </w:r>
      <w:r w:rsidR="006A3954">
        <w:t xml:space="preserve">o </w:t>
      </w:r>
      <w:r w:rsidR="00697A0C">
        <w:t>identify</w:t>
      </w:r>
      <w:r w:rsidR="006A3954">
        <w:t xml:space="preserve"> outlier sample</w:t>
      </w:r>
      <w:r w:rsidR="00697A0C">
        <w:t>s</w:t>
      </w:r>
      <w:r w:rsidR="006A3954">
        <w:t xml:space="preserve">, </w:t>
      </w:r>
      <w:r w:rsidR="008657B3">
        <w:t xml:space="preserve">first a community dissimilarity matrix is calculated. We use the Aitchison’s distance metric, </w:t>
      </w:r>
      <w:r w:rsidR="008657B3" w:rsidRPr="008657B3">
        <w:t>which performs a log ratio transformation</w:t>
      </w:r>
      <w:r w:rsidR="008657B3">
        <w:t xml:space="preserve"> of the data and accounts for the compositional nature of amplicon sequence data</w:t>
      </w:r>
      <w:r w:rsidR="00467974">
        <w:t xml:space="preserve"> </w:t>
      </w:r>
      <w:r w:rsidR="00467974">
        <w:fldChar w:fldCharType="begin"/>
      </w:r>
      <w:r w:rsidR="00467974">
        <w:instrText xml:space="preserve"> ADDIN ZOTERO_ITEM CSL_CITATION {"citationID":"39E9qHmY","properties":{"formattedCitation":"(Gloor et al., 2017)","plainCitation":"(Gloor et al., 2017)","noteIndex":0},"citationItems":[{"id":5417,"uris":["http://zotero.org/users/9359754/items/Q7HBBU9F"],"itemData":{"id":5417,"type":"article-journal","abstract":"Datasets collected by high-throughput sequencing (HTS) of 16S rRNA gene amplimers, metagenomes or metatranscriptomes are commonplace and being used to study human disease states, ecological differences between sites, and the built environment. There is increasing awareness that microbiome datasets generated by HTS are compositional because they have an arbitrary total imposed by the instrument. However, many investigators are either unaware of this or assume specific properties of the compositional data. The purpose of this review is to alert investigators to the dangers inherent in ignoring the compositional nature of the data, and point out that HTS datasets derived from microbiome studies can and should be treated as compositions at all stages of analysis. We briefly introduce compositional data, illustrate the pathologies that occur when compositional data are analyzed inappropriately, and finally give guidance and point to resources and examples for the analysis of microbiome datasets using compositional data analysis.","container-title":"Frontiers in Microbiology","ISSN":"1664-302X","source":"Frontiers","title":"Microbiome Datasets Are Compositional: And This Is Not Optional","title-short":"Microbiome Datasets Are Compositional","URL":"https://www.frontiersin.org/articles/10.3389/fmicb.2017.02224","volume":"8","author":[{"family":"Gloor","given":"Gregory B."},{"family":"Macklaim","given":"Jean M."},{"family":"Pawlowsky-Glahn","given":"Vera"},{"family":"Egozcue","given":"Juan J."}],"accessed":{"date-parts":[["2023",10,6]]},"issued":{"date-parts":[["2017"]]},"citation-key":"gloor2017"}}],"schema":"https://github.com/citation-style-language/schema/raw/master/csl-citation.json"} </w:instrText>
      </w:r>
      <w:r w:rsidR="00467974">
        <w:fldChar w:fldCharType="separate"/>
      </w:r>
      <w:r w:rsidR="00467974">
        <w:rPr>
          <w:noProof/>
        </w:rPr>
        <w:t>(Gloor et al., 2017)</w:t>
      </w:r>
      <w:r w:rsidR="00467974">
        <w:fldChar w:fldCharType="end"/>
      </w:r>
      <w:r w:rsidR="008657B3">
        <w:t>.</w:t>
      </w:r>
      <w:r w:rsidR="008657B3" w:rsidRPr="008657B3">
        <w:t xml:space="preserve"> </w:t>
      </w:r>
      <w:r w:rsidR="008657B3">
        <w:t>T</w:t>
      </w:r>
      <w:r w:rsidR="006A3954">
        <w:t xml:space="preserve">he </w:t>
      </w:r>
      <w:r w:rsidR="008657B3">
        <w:t xml:space="preserve">dissimilarity </w:t>
      </w:r>
      <w:r w:rsidR="006A3954">
        <w:t xml:space="preserve">data </w:t>
      </w:r>
      <w:r w:rsidR="00697A0C">
        <w:t xml:space="preserve">is </w:t>
      </w:r>
      <w:r w:rsidR="00AC1833">
        <w:t xml:space="preserve">visualized </w:t>
      </w:r>
      <w:r w:rsidR="00697A0C">
        <w:t>in a</w:t>
      </w:r>
      <w:r w:rsidR="00AC1833">
        <w:t xml:space="preserve"> non-metric multidimensional scaling</w:t>
      </w:r>
      <w:r w:rsidR="00697A0C">
        <w:t xml:space="preserve"> </w:t>
      </w:r>
      <w:r w:rsidR="00AC1833">
        <w:t>(</w:t>
      </w:r>
      <w:r w:rsidR="00697A0C">
        <w:t>NMDS</w:t>
      </w:r>
      <w:r w:rsidR="00AC1833">
        <w:t>) plot</w:t>
      </w:r>
      <w:r w:rsidR="00697A0C">
        <w:t xml:space="preserve"> with </w:t>
      </w:r>
      <w:r w:rsidR="00BA04C0">
        <w:t xml:space="preserve">points labelled as </w:t>
      </w:r>
      <w:r w:rsidR="00697A0C">
        <w:t>the sample ID</w:t>
      </w:r>
      <w:r w:rsidR="00406E6B">
        <w:t xml:space="preserve"> (</w:t>
      </w:r>
      <w:r w:rsidR="00406E6B" w:rsidRPr="0078390C">
        <w:rPr>
          <w:bCs/>
        </w:rPr>
        <w:t xml:space="preserve">Figure </w:t>
      </w:r>
      <w:r w:rsidR="004720B0" w:rsidRPr="0078390C">
        <w:rPr>
          <w:bCs/>
        </w:rPr>
        <w:t>2a</w:t>
      </w:r>
      <w:r w:rsidR="00406E6B">
        <w:t>)</w:t>
      </w:r>
      <w:r w:rsidR="00697A0C">
        <w:t xml:space="preserve">. </w:t>
      </w:r>
      <w:r w:rsidR="00AC73CF">
        <w:t xml:space="preserve">As </w:t>
      </w:r>
      <w:r w:rsidR="0092460F">
        <w:t xml:space="preserve">low-read </w:t>
      </w:r>
      <w:r w:rsidR="00AC73CF">
        <w:t xml:space="preserve">samples are removed, the NMDS plotting is repeated until all outlier samples </w:t>
      </w:r>
      <w:r w:rsidR="003766B6">
        <w:t xml:space="preserve">have </w:t>
      </w:r>
      <w:r w:rsidR="004F1BC2">
        <w:t xml:space="preserve">been </w:t>
      </w:r>
      <w:r w:rsidR="00AC73CF">
        <w:t>removed</w:t>
      </w:r>
      <w:r w:rsidR="003766B6">
        <w:t xml:space="preserve"> from the NMDS plot</w:t>
      </w:r>
      <w:r w:rsidR="00AC73CF">
        <w:t xml:space="preserve">. </w:t>
      </w:r>
      <w:r w:rsidR="00F32CB7">
        <w:t>This creates a curated dataset that can be used to test for effects of other</w:t>
      </w:r>
      <w:r w:rsidR="00C6799C">
        <w:t xml:space="preserve"> </w:t>
      </w:r>
      <w:r w:rsidR="00F32CB7">
        <w:t xml:space="preserve">properties of the sample </w:t>
      </w:r>
      <w:r w:rsidR="001321AA">
        <w:t xml:space="preserve">(e.g., environmental condition) </w:t>
      </w:r>
      <w:r w:rsidR="00F32CB7">
        <w:t>that could explain variation in microbial community characteristics.</w:t>
      </w:r>
      <w:r w:rsidR="00175A40" w:rsidRPr="00175A40">
        <w:t xml:space="preserve"> </w:t>
      </w:r>
      <w:r w:rsidR="00175A40">
        <w:t>Ideally, we will have removed problematic (i.e. low-read) samples while retaining as many samples as possible in the dataset.</w:t>
      </w:r>
    </w:p>
    <w:p w14:paraId="46909C46" w14:textId="44489CA8" w:rsidR="00D25211" w:rsidRDefault="00923625" w:rsidP="0063205A">
      <w:pPr>
        <w:spacing w:line="480" w:lineRule="auto"/>
        <w:ind w:firstLine="720"/>
      </w:pPr>
      <w:r>
        <w:t xml:space="preserve">The second </w:t>
      </w:r>
      <w:r w:rsidR="00175A40">
        <w:t>component</w:t>
      </w:r>
      <w:r>
        <w:t xml:space="preserve"> of this process is to </w:t>
      </w:r>
      <w:r w:rsidR="00C94AAE">
        <w:t xml:space="preserve">evaluate your </w:t>
      </w:r>
      <w:r w:rsidR="00AC5C09">
        <w:t xml:space="preserve">sample </w:t>
      </w:r>
      <w:r w:rsidR="00C94AAE">
        <w:t xml:space="preserve">drop thresholds to </w:t>
      </w:r>
      <w:r>
        <w:t xml:space="preserve">determine whether beta diversity of microbial communities varies by expected </w:t>
      </w:r>
      <w:r w:rsidR="004B342D">
        <w:t>properties of the sample</w:t>
      </w:r>
      <w:r>
        <w:t>, such as spatial distance between samples</w:t>
      </w:r>
      <w:r w:rsidR="00467974">
        <w:t xml:space="preserve"> </w:t>
      </w:r>
      <w:r w:rsidR="00467974">
        <w:fldChar w:fldCharType="begin"/>
      </w:r>
      <w:r w:rsidR="00467974">
        <w:instrText xml:space="preserve"> ADDIN ZOTERO_ITEM CSL_CITATION {"citationID":"w0KLP5ZZ","properties":{"formattedCitation":"(Martiny et al., 2011; Talbot et al., 2014)","plainCitation":"(Martiny et al., 2011; Talbot et al., 2014)","noteIndex":0},"citationItems":[{"id":9013,"uris":["http://zotero.org/users/9359754/items/TI3F5J7B"],"itemData":{"id":9013,"type":"article-journal","abstract":"The factors driving β-diversity (variation in community composition) yield insights into the maintenance of biodiversity on the planet. Here we tested whether the mechanisms that underlie bacterial β-diversity vary over centimeters to continental spatial scales by comparing the composition of ammonia-oxidizing bacteria communities in salt marsh sediments. As observed in studies of macroorganisms, the drivers of salt marsh bacterial β-diversity depend on spatial scale. In contrast to macroorganism studies, however, we found no evidence of evolutionary diversification of ammonia-oxidizing bacteria taxa at the continental scale, despite an overall relationship between geographic distance and community similarity. Our data are consistent with the idea that dispersal limitation at local scales can contribute to β-diversity, even though the 16S rRNA genes of the relatively common taxa are globally distributed. These results highlight the importance of considering multiple spatial scales for understanding microbial biogeography.","container-title":"Proceedings of the National Academy of Sciences","DOI":"10.1073/pnas.1016308108","issue":"19","note":"publisher: Proceedings of the National Academy of Sciences","page":"7850-7854","source":"pnas.org (Atypon)","title":"Drivers of bacterial β-diversity depend on spatial scale","volume":"108","author":[{"family":"Martiny","given":"Jennifer B. H."},{"family":"Eisen","given":"Jonathan A."},{"family":"Penn","given":"Kevin"},{"family":"Allison","given":"Steven D."},{"family":"Horner-Devine","given":"M. Claire"}],"issued":{"date-parts":[["2011",5,10]]},"citation-key":"martiny2011"}},{"id":1746,"uris":["http://zotero.org/users/9359754/items/DLDRD9GC"],"itemData":{"id":1746,"type":"article-journal","abstract":"Identifying the ecological processes that structure communities and the consequences for ecosystem function is a central goal of ecology. The recognition that fungi, bacteria, and viruses control key ecosystem functions has made microbial communities a major focus of this field. Because many ecological processes are apparent only at particular spatial or temporal scales, a complete understanding of the linkages between microbial community, environment, and function requires analysis across a wide range of scales. Here, we map the biological and functional geography of soil fungi from local to continental scales and show that the principal ecological processes controlling community structure and function operate at different scales. Similar to plants or animals, most soil fungi are endemic to particular bioregions, suggesting that factors operating at large spatial scales, like dispersal limitation or climate, are the first-order determinants of fungal community structure in nature. By contrast, soil extracellular enzyme activity is highly convergent across bioregions and widely differing fungal communities. Instead, soil enzyme activity is correlated with local soil environment and distribution of fungal traits within the community. The lack of structure-function relationships for soil fungal communities at continental scales indicates a high degree of functional redundancy among fungal communities in global biogeochemical cycles.","container-title":"Proceedings of the National Academy of Sciences of the United States of America","DOI":"10.1073/pnas.1402584111","ISSN":"10916490","issue":"17","note":"publisher: National Academy of Sciences\nPMID: 24733885","page":"6341–6346","title":"Endemism and functional convergence across the North American soil mycobiome","volume":"111","author":[{"family":"Talbot","given":"Jennifer M."},{"family":"Bruns","given":"Thomas D."},{"family":"Taylor","given":"John W."},{"family":"Smith","given":"Dylan P."},{"family":"Branco","given":"Sara"},{"family":"Glassman","given":"Sydney I."},{"family":"Erlandson","given":"Sonya"},{"family":"Vilgalys","given":"Rytas"},{"family":"Liao","given":"Hui Ling"},{"family":"Smith","given":"Matthew E."},{"family":"Peay","given":"Kabir Gabriel"}],"issued":{"date-parts":[["2014",4]]},"citation-key":"talbot2014"}}],"schema":"https://github.com/citation-style-language/schema/raw/master/csl-citation.json"} </w:instrText>
      </w:r>
      <w:r w:rsidR="00467974">
        <w:fldChar w:fldCharType="separate"/>
      </w:r>
      <w:r w:rsidR="00467974">
        <w:rPr>
          <w:noProof/>
        </w:rPr>
        <w:t>(Martiny et al., 2011; Talbot et al., 2014)</w:t>
      </w:r>
      <w:r w:rsidR="00467974">
        <w:fldChar w:fldCharType="end"/>
      </w:r>
      <w:r>
        <w:t xml:space="preserve"> or habitat from which samples are collected </w:t>
      </w:r>
      <w:r w:rsidR="00467974">
        <w:fldChar w:fldCharType="begin"/>
      </w:r>
      <w:r w:rsidR="00467974">
        <w:instrText xml:space="preserve"> ADDIN ZOTERO_ITEM CSL_CITATION {"citationID":"4dx4D9G2","properties":{"formattedCitation":"(Delgado-Baquerizo et al., 2018; Tedersoo et al., 2014)","plainCitation":"(Delgado-Baquerizo et al., 2018; Tedersoo et al., 2014)","noteIndex":0},"citationItems":[{"id":1169,"uris":["http://zotero.org/users/9359754/items/CDKNXVUU"],"itemData":{"id":1169,"type":"article-journal","abstract":"The immense diversity of soil bacterial communities has stymied efforts to characterize individual taxa and document their global distributions. We analyzed soils from 237 locations across six continents and found that only 2% of bacterial phylotypes ($\\sim$500 phylotypes) consistently accounted for almost half of the soil bacterial communities worldwide. Despite the overwhelming diversity of bacterial communities, relatively few bacterial taxa are abundant in soils globally. We clustered these dominant taxa into ecological groups to build the first global atlas of soil bacterial taxa. Our study narrows down the immense number of bacterial taxa to a “most wanted” list that will be fruitful targets for genomic and cultivation-based efforts aimed at improving our understanding","container-title":"Science","ISSN":"0036-8075","issue":"February","note":"PMID: 29348236","page":"320–325","title":"A global atlas of the dominant bacteria found in soil","volume":"325","author":[{"family":"Delgado-Baquerizo","given":"Manuel"},{"family":"Oliverio","given":"Angela M."},{"family":"Brewer","given":"Tess E."},{"family":"Benavent-gonzález","given":"Alberto"},{"family":"Eldridge","given":"David J."},{"family":"Bardgett","given":"Richard D."},{"family":"Maestre","given":"Fernando T."},{"family":"Singh","given":"Brajesh K."},{"family":"Fierer","given":"Noah G."}],"issued":{"date-parts":[["2018"]]},"citation-key":"delgado-baquerizo2018"}},{"id":9015,"uris":["http://zotero.org/users/9359754/items/XB6EUFE2"],"itemData":{"id":9015,"type":"article-journal","abstract":"Fungi play major roles in ecosystem processes, but the determinants of fungal diversity and biogeographic patterns remain poorly understood. Using DNA metabarcoding data from hundreds of globally distributed soil samples, we demonstrate that fungal richness is decoupled from plant diversity. The plant-to-fungus richness ratio declines exponentially toward the poles. Climatic factors, followed by edaphic and spatial variables, constitute the best predictors of fungal richness and community composition at the global scale. Fungi show similar latitudinal diversity gradients to other organisms, with several notable exceptions. These findings advance our understanding of global fungal diversity patterns and permit integration of fungi into a general macroecological framework.","container-title":"Science","DOI":"10.1126/science.1256688","issue":"6213","note":"publisher: American Association for the Advancement of Science","page":"1256688","source":"www-science-org.ezproxy.bu.edu (Atypon)","title":"Global diversity and geography of soil fungi","volume":"346","author":[{"family":"Tedersoo","given":"Leho"},{"family":"Bahram","given":"Mohammad"},{"family":"Põlme","given":"Sergei"},{"family":"Kõljalg","given":"Urmas"},{"family":"Yorou","given":"Nourou S."},{"family":"Wijesundera","given":"Ravi"},{"family":"Ruiz","given":"Luis Villarreal"},{"family":"Vasco-Palacios","given":"Aída M."},{"family":"Thu","given":"Pham Quang"},{"family":"Suija","given":"Ave"},{"family":"Smith","given":"Matthew E."},{"family":"Sharp","given":"Cathy"},{"family":"Saluveer","given":"Erki"},{"family":"Saitta","given":"Alessandro"},{"family":"Rosas","given":"Miguel"},{"family":"Riit","given":"Taavi"},{"family":"Ratkowsky","given":"David"},{"family":"Pritsch","given":"Karin"},{"family":"Põldmaa","given":"Kadri"},{"family":"Piepenbring","given":"Meike"},{"family":"Phosri","given":"Cherdchai"},{"family":"Peterson","given":"Marko"},{"family":"Parts","given":"Kaarin"},{"family":"Pärtel","given":"Kadri"},{"family":"Otsing","given":"Eveli"},{"family":"Nouhra","given":"Eduardo"},{"family":"Njouonkou","given":"André L."},{"family":"Nilsson","given":"R. Henrik"},{"family":"Morgado","given":"Luis N."},{"family":"Mayor","given":"Jordan"},{"family":"May","given":"Tom W."},{"family":"Majuakim","given":"Luiza"},{"family":"Lodge","given":"D. Jean"},{"family":"Lee","given":"Su See"},{"family":"Larsson","given":"Karl-Henrik"},{"family":"Kohout","given":"Petr"},{"family":"Hosaka","given":"Kentaro"},{"family":"Hiiesalu","given":"Indrek"},{"family":"Henkel","given":"Terry W."},{"family":"Harend","given":"Helery"},{"family":"Guo","given":"Liang-dong"},{"family":"Greslebin","given":"Alina"},{"family":"Grelet","given":"Gwen"},{"family":"Geml","given":"Jozsef"},{"family":"Gates","given":"Genevieve"},{"family":"Dunstan","given":"William"},{"family":"Dunk","given":"Chris"},{"family":"Drenkhan","given":"Rein"},{"family":"Dearnaley","given":"John"},{"family":"De Kesel","given":"André"},{"family":"Dang","given":"Tan"},{"family":"Chen","given":"Xin"},{"family":"Buegger","given":"Franz"},{"family":"Brearley","given":"Francis Q."},{"family":"Bonito","given":"Gregory"},{"family":"Anslan","given":"Sten"},{"family":"Abell","given":"Sandra"},{"family":"Abarenkov","given":"Kessy"}],"issued":{"date-parts":[["2014",11,28]]},"citation-key":"tedersoo2014"}}],"schema":"https://github.com/citation-style-language/schema/raw/master/csl-citation.json"} </w:instrText>
      </w:r>
      <w:r w:rsidR="00467974">
        <w:fldChar w:fldCharType="separate"/>
      </w:r>
      <w:r w:rsidR="00467974">
        <w:rPr>
          <w:noProof/>
        </w:rPr>
        <w:t>(Delgado-Baquerizo et al., 2018; Tedersoo et al., 2014)</w:t>
      </w:r>
      <w:r w:rsidR="00467974">
        <w:fldChar w:fldCharType="end"/>
      </w:r>
      <w:r>
        <w:t xml:space="preserve">, within </w:t>
      </w:r>
      <w:r w:rsidR="000D0219">
        <w:t>the</w:t>
      </w:r>
      <w:r>
        <w:t xml:space="preserve"> curated dataset.</w:t>
      </w:r>
      <w:r w:rsidR="000D0219">
        <w:t xml:space="preserve"> </w:t>
      </w:r>
      <w:r w:rsidR="008769F6">
        <w:t>To run this test, a</w:t>
      </w:r>
      <w:r w:rsidR="00AC1833">
        <w:t xml:space="preserve"> second set of</w:t>
      </w:r>
      <w:r w:rsidR="00AC73CF">
        <w:t xml:space="preserve"> NMDS is plotted, coloring samples </w:t>
      </w:r>
      <w:r w:rsidR="00072735">
        <w:t>by sample</w:t>
      </w:r>
      <w:r w:rsidR="00AC73CF">
        <w:t xml:space="preserve"> </w:t>
      </w:r>
      <w:r w:rsidR="00122DAC">
        <w:t xml:space="preserve">properties of interest </w:t>
      </w:r>
      <w:r w:rsidR="00072735">
        <w:t>(</w:t>
      </w:r>
      <w:r w:rsidR="00927C98">
        <w:t xml:space="preserve">e.g., environmental conditions, </w:t>
      </w:r>
      <w:r w:rsidR="00072735">
        <w:t>such as habitat type</w:t>
      </w:r>
      <w:r w:rsidR="000A782B">
        <w:t xml:space="preserve">, </w:t>
      </w:r>
      <w:r w:rsidR="000A782B" w:rsidRPr="0078390C">
        <w:rPr>
          <w:bCs/>
        </w:rPr>
        <w:lastRenderedPageBreak/>
        <w:t>Figure 2b</w:t>
      </w:r>
      <w:r w:rsidR="00072735">
        <w:t>)</w:t>
      </w:r>
      <w:r w:rsidR="00AC73CF">
        <w:t>.</w:t>
      </w:r>
      <w:r w:rsidR="00802815">
        <w:t xml:space="preserve"> </w:t>
      </w:r>
      <w:r w:rsidR="00175A40">
        <w:t>If the results of this test are not satisfactory, we repeat the first and second components of this step (STEP 3) in the protocol with m</w:t>
      </w:r>
      <w:r w:rsidR="00802815">
        <w:t>ul</w:t>
      </w:r>
      <w:r w:rsidR="00D31A5E">
        <w:t>ti</w:t>
      </w:r>
      <w:r w:rsidR="00802815">
        <w:t>ple sample read depth thresholds for each sample type</w:t>
      </w:r>
      <w:r w:rsidR="00175A40">
        <w:t xml:space="preserve">, </w:t>
      </w:r>
      <w:r w:rsidR="00802815">
        <w:t xml:space="preserve">to see how they impact </w:t>
      </w:r>
      <w:r w:rsidR="008E4FA1">
        <w:t>beta-diversity of the raw ASV counts</w:t>
      </w:r>
      <w:r w:rsidR="00163928">
        <w:t>,</w:t>
      </w:r>
      <w:r w:rsidR="00802815">
        <w:t xml:space="preserve"> how many samples they would remove</w:t>
      </w:r>
      <w:r w:rsidR="0014791E">
        <w:t xml:space="preserve"> overall</w:t>
      </w:r>
      <w:r w:rsidR="00163928">
        <w:t>,</w:t>
      </w:r>
      <w:r w:rsidR="0014791E">
        <w:t xml:space="preserve"> and </w:t>
      </w:r>
      <w:r w:rsidR="00163928">
        <w:t>how many samples are removed from each</w:t>
      </w:r>
      <w:r w:rsidR="00175A40">
        <w:t xml:space="preserve"> environmental condition</w:t>
      </w:r>
      <w:r w:rsidR="0014791E">
        <w:t xml:space="preserve">. </w:t>
      </w:r>
      <w:r w:rsidR="00D010CC">
        <w:t>Ideally</w:t>
      </w:r>
      <w:r w:rsidR="0014791E">
        <w:t xml:space="preserve">, we choose a </w:t>
      </w:r>
      <w:r w:rsidR="00175A40">
        <w:t xml:space="preserve">read depth </w:t>
      </w:r>
      <w:r w:rsidR="00D25211">
        <w:t xml:space="preserve">threshold </w:t>
      </w:r>
      <w:r w:rsidR="00175A40">
        <w:t>that will</w:t>
      </w:r>
      <w:r w:rsidR="00E62840">
        <w:t xml:space="preserve"> remove low-</w:t>
      </w:r>
      <w:r w:rsidR="00175A40">
        <w:t xml:space="preserve">read </w:t>
      </w:r>
      <w:r w:rsidR="00C0646C">
        <w:t xml:space="preserve">count </w:t>
      </w:r>
      <w:r w:rsidR="00E62840">
        <w:t xml:space="preserve">samples without majorly impacting data structure or removing too many samples from </w:t>
      </w:r>
      <w:r w:rsidR="003F62E0">
        <w:t>any one</w:t>
      </w:r>
      <w:r w:rsidR="00E62840">
        <w:t xml:space="preserve"> </w:t>
      </w:r>
      <w:r w:rsidR="00175A40">
        <w:t>environmental condition</w:t>
      </w:r>
      <w:r w:rsidR="008E3D8F">
        <w:t xml:space="preserve"> (Figure 3)</w:t>
      </w:r>
      <w:r w:rsidR="00E62840">
        <w:t>.</w:t>
      </w:r>
      <w:r w:rsidR="00596F5C">
        <w:t xml:space="preserve"> </w:t>
      </w:r>
    </w:p>
    <w:p w14:paraId="4BE8A81E" w14:textId="77777777" w:rsidR="00C0646C" w:rsidRDefault="00C0646C" w:rsidP="0063205A">
      <w:pPr>
        <w:spacing w:line="480" w:lineRule="auto"/>
        <w:ind w:firstLine="720"/>
      </w:pPr>
    </w:p>
    <w:p w14:paraId="00F4C96E" w14:textId="44F0B5CA" w:rsidR="00C0646C" w:rsidRDefault="00C0646C" w:rsidP="00C0646C">
      <w:pPr>
        <w:spacing w:line="480" w:lineRule="auto"/>
      </w:pPr>
      <w:r>
        <w:rPr>
          <w:noProof/>
        </w:rPr>
        <w:drawing>
          <wp:inline distT="0" distB="0" distL="0" distR="0" wp14:anchorId="0CAC5EB7" wp14:editId="25AFD687">
            <wp:extent cx="5943600" cy="330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herton_16S_osoil_sequencing_depth_prefilter_20250324.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617AE7F0" w14:textId="33A64824" w:rsidR="00C0646C" w:rsidRPr="00C0646C" w:rsidRDefault="00C0646C" w:rsidP="0078390C">
      <w:pPr>
        <w:spacing w:line="480" w:lineRule="auto"/>
      </w:pPr>
      <w:r>
        <w:rPr>
          <w:b/>
        </w:rPr>
        <w:t>Fig. 3:</w:t>
      </w:r>
      <w:r>
        <w:t xml:space="preserve"> An example output histogram of sequencing depth after individual sequence quality control. Samples are colored by their sequencing batch. The blue dotted line represents the median sampling depth and the red dotted line represents the proposed threshold for removing low-read count samples. </w:t>
      </w:r>
    </w:p>
    <w:p w14:paraId="6D4E1A19" w14:textId="684C158F" w:rsidR="007B2582" w:rsidRDefault="007B2582" w:rsidP="00D87226">
      <w:pPr>
        <w:spacing w:line="480" w:lineRule="auto"/>
      </w:pPr>
    </w:p>
    <w:p w14:paraId="49E3FF1E" w14:textId="3D1C5EC8" w:rsidR="007B2582" w:rsidRDefault="007B2582" w:rsidP="00D87226">
      <w:pPr>
        <w:spacing w:line="480" w:lineRule="auto"/>
      </w:pPr>
      <w:r>
        <w:rPr>
          <w:u w:val="single"/>
        </w:rPr>
        <w:t>STEP 4: REMOVE CONTAMINATING ASVs</w:t>
      </w:r>
    </w:p>
    <w:p w14:paraId="6AFB16BF" w14:textId="7F41475B" w:rsidR="007B2582" w:rsidRDefault="005B42A9" w:rsidP="00D87226">
      <w:pPr>
        <w:spacing w:line="480" w:lineRule="auto"/>
      </w:pPr>
      <w:r>
        <w:lastRenderedPageBreak/>
        <w:t>Sample data can be contaminated with non-sample microorganisms at multiple points in the data collection and sequencing process</w:t>
      </w:r>
      <w:r w:rsidR="00467974">
        <w:t xml:space="preserve"> </w:t>
      </w:r>
      <w:r w:rsidR="00467974">
        <w:fldChar w:fldCharType="begin"/>
      </w:r>
      <w:r w:rsidR="00467974">
        <w:instrText xml:space="preserve"> ADDIN ZOTERO_ITEM CSL_CITATION {"citationID":"TrxnPQCI","properties":{"formattedCitation":"(Jia et al., 2022)","plainCitation":"(Jia et al., 2022)","noteIndex":0},"citationItems":[{"id":9020,"uris":["http://zotero.org/users/9359754/items/U54V65KI"],"itemData":{"id":9020,"type":"article-journal","abstract":"Increasing studies have demonstrated potential disproportionate functional and ecological contributions of rare taxa in a microbial community. However, the study of the microbial rare biosphere is hampered by their inherent scarcity and the deficiency of currently available techniques. Sample-wise cross contaminations might be introduced by sample index misassignment in the most widely used metabarcoding amplicon sequencing approach. Although downstream bioinformatic quality control and clustering or denoising algorithms could remove sequencing errors and non-biological artifact reads, no algorithm could eliminate high quality reads from sample-wise cross contaminations introduced by index misassignment, making it difficult to distinguish between bona fide rare taxa and potential false positives in metabarcoding studies.","container-title":"Environmental Microbiome","DOI":"10.1186/s40793-022-00436-y","ISSN":"2524-6372","issue":"1","journalAbbreviation":"Environmental Microbiome","page":"43","source":"BioMed Central","title":"Sequencing introduced false positive rare taxa lead to biased microbial community diversity, assembly, and interaction interpretation in amplicon studies","volume":"17","author":[{"family":"Jia","given":"Yangyang"},{"family":"Zhao","given":"Shengguo"},{"family":"Guo","given":"Wenjie"},{"family":"Peng","given":"Ling"},{"family":"Zhao","given":"Fang"},{"family":"Wang","given":"Lushan"},{"family":"Fan","given":"Guangyi"},{"family":"Zhu","given":"Yuanfang"},{"family":"Xu","given":"Dayou"},{"family":"Liu","given":"Guilin"},{"family":"Wang","given":"Ruoqing"},{"family":"Fang","given":"Xiaodong"},{"family":"Zhang","given":"He"},{"family":"Kristiansen","given":"Karsten"},{"family":"Zhang","given":"Wenwei"},{"family":"Chen","given":"Jianwei"}],"issued":{"date-parts":[["2022",8,17]]},"citation-key":"jia2022"}}],"schema":"https://github.com/citation-style-language/schema/raw/master/csl-citation.json"} </w:instrText>
      </w:r>
      <w:r w:rsidR="00467974">
        <w:fldChar w:fldCharType="separate"/>
      </w:r>
      <w:r w:rsidR="00467974">
        <w:rPr>
          <w:noProof/>
        </w:rPr>
        <w:t>(Jia et al., 2022)</w:t>
      </w:r>
      <w:r w:rsidR="00467974">
        <w:fldChar w:fldCharType="end"/>
      </w:r>
      <w:r>
        <w:t>, but computational approaches have recently been developed that can remove many of these contaminating sequences from the final microbiome dataset. We removed c</w:t>
      </w:r>
      <w:r w:rsidR="00E27FED">
        <w:t>ontaminating</w:t>
      </w:r>
      <w:r w:rsidR="00E27FED" w:rsidRPr="00DA37A2">
        <w:t xml:space="preserve"> sequences from </w:t>
      </w:r>
      <w:r w:rsidR="00E27FED">
        <w:t xml:space="preserve">DNA </w:t>
      </w:r>
      <w:r w:rsidR="00E27FED" w:rsidRPr="00DA37A2">
        <w:t xml:space="preserve">amplicon sequence data </w:t>
      </w:r>
      <w:r w:rsidR="00AD7FC5">
        <w:t xml:space="preserve">with the decontam package in R </w:t>
      </w:r>
      <w:r w:rsidR="00E27FED">
        <w:fldChar w:fldCharType="begin"/>
      </w:r>
      <w:r w:rsidR="003E6F33">
        <w:instrText xml:space="preserve"> ADDIN ZOTERO_ITEM CSL_CITATION {"citationID":"vjZHlWCS","properties":{"formattedCitation":"(N. M. Davis et al., 2018)","plainCitation":"(N. M. Davis et al., 2018)","noteIndex":0},"citationItems":[{"id":6512,"uris":["http://zotero.org/users/9359754/items/8XSDB8BM"],"itemData":{"id":6512,"type":"article-journal","abstract":"The accuracy of microbial community surveys based on marker-gene and metagenomic sequencing (MGS) suffers from the presence of contaminants—DNA sequences not truly present in the sample. Contaminants come from various sources, including reagents. Appropriate laboratory practices can reduce contamination, but do not eliminate it. Here we introduce decontam (https://github.com/benjjneb/decontam), an open-source R package that implements a statistical classification procedure that identifies contaminants in MGS data based on two widely reproduced patterns: contaminants appear at higher frequencies in low-concentration samples and are often found in negative controls.","container-title":"Microbiome","DOI":"10.1186/s40168-018-0605-2","ISSN":"2049-2618","issue":"1","journalAbbreviation":"Microbiome","page":"226","source":"BioMed Central","title":"Simple statistical identification and removal of contaminant sequences in marker-gene and metagenomics data","volume":"6","author":[{"family":"Davis","given":"Nicole M."},{"family":"Proctor","given":"Diana M."},{"family":"Holmes","given":"Susan P."},{"family":"Relman","given":"David A."},{"family":"Callahan","given":"Benjamin J."}],"issued":{"date-parts":[["2018",12,17]]},"citation-key":"davis2018a"}}],"schema":"https://github.com/citation-style-language/schema/raw/master/csl-citation.json"} </w:instrText>
      </w:r>
      <w:r w:rsidR="00E27FED">
        <w:fldChar w:fldCharType="separate"/>
      </w:r>
      <w:r w:rsidR="003E6F33">
        <w:rPr>
          <w:rFonts w:cs="Times New Roman"/>
        </w:rPr>
        <w:t>(N. M. Davis et al., 2018)</w:t>
      </w:r>
      <w:r w:rsidR="00E27FED">
        <w:fldChar w:fldCharType="end"/>
      </w:r>
      <w:r w:rsidR="00E27FED" w:rsidRPr="00DA37A2">
        <w:t>.</w:t>
      </w:r>
      <w:r w:rsidR="003C4730">
        <w:t xml:space="preserve"> </w:t>
      </w:r>
      <w:r w:rsidR="00AD7FC5">
        <w:t>By default, contaminating ASVs are identified</w:t>
      </w:r>
      <w:r w:rsidR="00AB57E2">
        <w:t xml:space="preserve"> with the “prevalence” method, where an ASV’s prevalence in sample</w:t>
      </w:r>
      <w:r w:rsidR="00374F26">
        <w:t>s</w:t>
      </w:r>
      <w:r w:rsidR="00AB57E2">
        <w:t xml:space="preserve"> is statistically compared to prevalence in negative controls. ASVs that are identified as being more prevalent in negative controls than samples are labeled as contaminants and removed from the dataset.</w:t>
      </w:r>
      <w:r w:rsidR="00AD7FC5">
        <w:t xml:space="preserve"> </w:t>
      </w:r>
      <w:r w:rsidR="003C4730">
        <w:t>For any samples without a corresponding sequenced negative control, contaminating sequences are</w:t>
      </w:r>
      <w:r w:rsidR="00AB57E2">
        <w:t xml:space="preserve"> identified with the “frequency” method, where the </w:t>
      </w:r>
      <w:r w:rsidR="001A15E3">
        <w:t xml:space="preserve">frequency of an </w:t>
      </w:r>
      <w:r w:rsidR="00AB57E2">
        <w:t>ASV is compared to the sample’s DNA concentration</w:t>
      </w:r>
      <w:r w:rsidR="001A15E3">
        <w:t xml:space="preserve"> prior to pooling in a sequencing library</w:t>
      </w:r>
      <w:r w:rsidR="00AB57E2">
        <w:t xml:space="preserve">. Contaminating sequences are assumed make up a larger fraction of DNA </w:t>
      </w:r>
      <w:r w:rsidR="007F5740">
        <w:t xml:space="preserve">in samples </w:t>
      </w:r>
      <w:r w:rsidR="00FB5C38">
        <w:t>that have</w:t>
      </w:r>
      <w:r w:rsidR="007F5740">
        <w:t xml:space="preserve"> little</w:t>
      </w:r>
      <w:r w:rsidR="00AB57E2">
        <w:t xml:space="preserve"> total DNA. Therefore, ASVs with a negative relationship between read count and sample DNA concentration will be labeled as contaminants and removed.</w:t>
      </w:r>
      <w:r w:rsidR="00FA0040">
        <w:t xml:space="preserve"> These statistical methods allow for the removal of laboratory contaminants</w:t>
      </w:r>
      <w:r w:rsidR="008A4AAE">
        <w:t xml:space="preserve">, rather than </w:t>
      </w:r>
      <w:r w:rsidR="00FA0040">
        <w:t>negative control</w:t>
      </w:r>
      <w:r w:rsidR="00A846FA">
        <w:t xml:space="preserve"> contaminant</w:t>
      </w:r>
      <w:r w:rsidR="00FA0040">
        <w:t xml:space="preserve">s </w:t>
      </w:r>
      <w:r w:rsidR="0060489C">
        <w:t xml:space="preserve">that arise </w:t>
      </w:r>
      <w:r w:rsidR="002F378F">
        <w:t>from</w:t>
      </w:r>
      <w:r w:rsidR="00FA0040">
        <w:t xml:space="preserve"> cross-sample contamination.</w:t>
      </w:r>
      <w:r w:rsidR="00EC563C">
        <w:t xml:space="preserve"> Additionally, any ASVs that are annotated to non-bacteria</w:t>
      </w:r>
      <w:r w:rsidR="00E67FCE">
        <w:t>l</w:t>
      </w:r>
      <w:r w:rsidR="00EC563C">
        <w:t xml:space="preserve"> or archaeal taxa for 16S data or to non-fungal </w:t>
      </w:r>
      <w:r w:rsidR="00E67FCE">
        <w:t>taxa for ITS data are removed from the dataset during this step.</w:t>
      </w:r>
    </w:p>
    <w:p w14:paraId="3F7B4785" w14:textId="77777777" w:rsidR="00AB57E2" w:rsidRDefault="00AB57E2" w:rsidP="00AB57E2">
      <w:pPr>
        <w:spacing w:line="480" w:lineRule="auto"/>
        <w:rPr>
          <w:u w:val="single"/>
        </w:rPr>
      </w:pPr>
    </w:p>
    <w:p w14:paraId="47E80D29" w14:textId="621A0C41" w:rsidR="00AB57E2" w:rsidRPr="0063205A" w:rsidRDefault="00AB57E2" w:rsidP="00AB57E2">
      <w:pPr>
        <w:spacing w:line="480" w:lineRule="auto"/>
        <w:rPr>
          <w:u w:val="single"/>
        </w:rPr>
      </w:pPr>
      <w:r w:rsidRPr="0063205A">
        <w:rPr>
          <w:u w:val="single"/>
        </w:rPr>
        <w:t xml:space="preserve">STEP </w:t>
      </w:r>
      <w:r>
        <w:rPr>
          <w:u w:val="single"/>
        </w:rPr>
        <w:t>5</w:t>
      </w:r>
      <w:r w:rsidRPr="0063205A">
        <w:rPr>
          <w:u w:val="single"/>
        </w:rPr>
        <w:t>: BATCH CORRECT DATA</w:t>
      </w:r>
    </w:p>
    <w:p w14:paraId="28E3D827" w14:textId="5F54B3EC" w:rsidR="00AB57E2" w:rsidRDefault="00232847" w:rsidP="00D87226">
      <w:pPr>
        <w:spacing w:line="480" w:lineRule="auto"/>
      </w:pPr>
      <w:r>
        <w:t xml:space="preserve">To </w:t>
      </w:r>
      <w:r w:rsidR="007F5740">
        <w:t xml:space="preserve">check </w:t>
      </w:r>
      <w:r w:rsidR="00AB57E2" w:rsidRPr="00DA37A2">
        <w:t xml:space="preserve">differences </w:t>
      </w:r>
      <w:r w:rsidR="00AB57E2">
        <w:t xml:space="preserve">among samples </w:t>
      </w:r>
      <w:r w:rsidR="00AB57E2" w:rsidRPr="00DA37A2">
        <w:t xml:space="preserve">due to </w:t>
      </w:r>
      <w:r w:rsidR="00AB57E2">
        <w:t>batch (i.e., sequencing run) effects,</w:t>
      </w:r>
      <w:r w:rsidR="004138EA">
        <w:t xml:space="preserve"> the Aitchison distance matrix of untransformed data is calculated and </w:t>
      </w:r>
      <w:r w:rsidR="00D251DD">
        <w:t xml:space="preserve">a permutational multivaraiate analysis of variance (PERMANOVA) is performed with the </w:t>
      </w:r>
      <w:r w:rsidR="004138EA">
        <w:t>the adonis2 function of the vegan package in R (</w:t>
      </w:r>
      <w:r w:rsidR="005344F7">
        <w:rPr>
          <w:rFonts w:cs="Times New Roman"/>
        </w:rPr>
        <w:t>Oksanen et al., 2015</w:t>
      </w:r>
      <w:r w:rsidR="004138EA">
        <w:t xml:space="preserve">) is used to calculate the effect of a given variable or list of variables (i.e. </w:t>
      </w:r>
      <w:r w:rsidR="004138EA">
        <w:lastRenderedPageBreak/>
        <w:t>sequencing run, sample type, etc.)</w:t>
      </w:r>
      <w:r w:rsidR="00F94158">
        <w:t xml:space="preserve"> on community dissimilarity between samples</w:t>
      </w:r>
      <w:r w:rsidR="004138EA">
        <w:t xml:space="preserve">. The </w:t>
      </w:r>
      <w:r w:rsidR="00D251DD">
        <w:t xml:space="preserve">PERMANOVA test results of </w:t>
      </w:r>
      <w:r w:rsidR="009E34F4">
        <w:t>the given variables’ effect on community composition</w:t>
      </w:r>
      <w:r w:rsidR="004138EA">
        <w:t xml:space="preserve"> and an NMDS </w:t>
      </w:r>
      <w:r w:rsidR="00BE1554">
        <w:t xml:space="preserve">plot </w:t>
      </w:r>
      <w:r w:rsidR="004138EA">
        <w:t>of the data, with sample points colored by the given variables</w:t>
      </w:r>
      <w:r w:rsidR="00BE1554">
        <w:t>,</w:t>
      </w:r>
      <w:r w:rsidR="004138EA">
        <w:t xml:space="preserve"> are output</w:t>
      </w:r>
      <w:r w:rsidR="009E34F4">
        <w:t xml:space="preserve"> (Figure </w:t>
      </w:r>
      <w:r w:rsidR="00942A2F">
        <w:t>4</w:t>
      </w:r>
      <w:r w:rsidR="009E34F4">
        <w:t>)</w:t>
      </w:r>
      <w:r w:rsidR="004138EA">
        <w:t>.</w:t>
      </w:r>
      <w:r w:rsidR="00AB57E2">
        <w:t xml:space="preserve"> </w:t>
      </w:r>
      <w:r w:rsidR="004138EA">
        <w:t>B</w:t>
      </w:r>
      <w:r w:rsidR="00AB57E2" w:rsidRPr="00DA37A2">
        <w:t xml:space="preserve">atch correction </w:t>
      </w:r>
      <w:r w:rsidR="00AB57E2">
        <w:t xml:space="preserve">is </w:t>
      </w:r>
      <w:r w:rsidR="004138EA">
        <w:t xml:space="preserve">then </w:t>
      </w:r>
      <w:r w:rsidR="00AB57E2">
        <w:t xml:space="preserve">performed </w:t>
      </w:r>
      <w:r w:rsidR="00AB57E2" w:rsidRPr="00DA37A2">
        <w:t>on the un</w:t>
      </w:r>
      <w:r w:rsidR="00AB57E2">
        <w:t>transformed</w:t>
      </w:r>
      <w:r w:rsidR="00AB57E2" w:rsidRPr="00DA37A2">
        <w:t xml:space="preserve"> </w:t>
      </w:r>
      <w:r w:rsidR="00AB57E2">
        <w:t>data</w:t>
      </w:r>
      <w:r w:rsidR="00AB57E2" w:rsidRPr="00DA37A2">
        <w:t xml:space="preserve"> and combined into one ASV table </w:t>
      </w:r>
      <w:r w:rsidR="00AB57E2">
        <w:t>for downstream</w:t>
      </w:r>
      <w:r w:rsidR="00AB57E2" w:rsidRPr="00DA37A2">
        <w:t xml:space="preserve"> analysis. </w:t>
      </w:r>
      <w:r w:rsidR="00541A82">
        <w:t>We use t</w:t>
      </w:r>
      <w:r w:rsidR="00AB57E2" w:rsidRPr="00DA37A2">
        <w:t xml:space="preserve">he ComBat_seq function in the sva package in R </w:t>
      </w:r>
      <w:r w:rsidR="00AB57E2">
        <w:fldChar w:fldCharType="begin"/>
      </w:r>
      <w:r w:rsidR="00AB57E2">
        <w:instrText xml:space="preserve"> ADDIN ZOTERO_ITEM CSL_CITATION {"citationID":"FiQM3UAz","properties":{"formattedCitation":"(Zhang et al., 2020)","plainCitation":"(Zhang et al., 2020)","noteIndex":0},"citationItems":[{"id":5971,"uris":["http://zotero.org/users/9359754/items/IYNQM3B9"],"itemData":{"id":5971,"type":"article-journal","abstract":"The benefit of integrating batches of genomic data to increase statistical power is often hindered by batch effects, or unwanted variation in data caused by differences in technical factors across batches. It is therefore critical to effectively address batch effects in genomic data to overcome these challenges. Many existing methods for batch effects adjustment assume the data follow a continuous, bell-shaped Gaussian distribution. However in RNA-seq studies the data are typically skewed, over-dispersed counts, so this assumption is not appropriate and may lead to erroneous results. Negative binomial regression models have been used previously to better capture the properties of counts. We developed a batch correction method, ComBat-seq, using a negative binomial regression model that retains the integer nature of count data in RNA-seq studies, making the batch adjusted data compatible with common differential expression software packages that require integer counts. We show in realistic simulations that the ComBat-seq adjusted data results in better statistical power and control of false positives in differential expression compared to data adjusted by the other available methods. We further demonstrated in a real data example that ComBat-seq successfully removes batch effects and recovers the biological signal in the data.","container-title":"NAR Genomics and Bioinformatics","DOI":"10.1093/nargab/lqaa078","ISSN":"2631-9268","issue":"3","journalAbbreviation":"NAR Genomics and Bioinformatics","page":"lqaa078","source":"Silverchair","title":"ComBat-seq: batch effect adjustment for RNA-seq count data","title-short":"ComBat-seq","volume":"2","author":[{"family":"Zhang","given":"Yuqing"},{"family":"Parmigiani","given":"Giovanni"},{"family":"Johnson","given":"W Evan"}],"issued":{"date-parts":[["2020",9,1]]},"citation-key":"zhang2020b"}}],"schema":"https://github.com/citation-style-language/schema/raw/master/csl-citation.json"} </w:instrText>
      </w:r>
      <w:r w:rsidR="00AB57E2">
        <w:fldChar w:fldCharType="separate"/>
      </w:r>
      <w:r w:rsidR="00AB57E2">
        <w:rPr>
          <w:rFonts w:cs="Times New Roman"/>
        </w:rPr>
        <w:t>(Zhang et al., 2020)</w:t>
      </w:r>
      <w:r w:rsidR="00AB57E2">
        <w:fldChar w:fldCharType="end"/>
      </w:r>
      <w:r w:rsidR="00AB57E2" w:rsidRPr="00DA37A2">
        <w:t xml:space="preserve">, </w:t>
      </w:r>
      <w:r w:rsidR="00AB57E2">
        <w:t>defining the</w:t>
      </w:r>
      <w:r w:rsidR="00AB57E2" w:rsidRPr="00DA37A2">
        <w:t xml:space="preserve"> batch variable</w:t>
      </w:r>
      <w:r w:rsidR="004138EA">
        <w:t xml:space="preserve"> (</w:t>
      </w:r>
      <w:r w:rsidR="00BE1554">
        <w:t xml:space="preserve">sample type, </w:t>
      </w:r>
      <w:r w:rsidR="004138EA">
        <w:t>in the case of Atherton et al. 2025, as the leaf, soil, and root samples used different DNA extraction and PCR amplification methods</w:t>
      </w:r>
      <w:r w:rsidR="00DF1666">
        <w:t xml:space="preserve"> and the sequencing batches did not have </w:t>
      </w:r>
      <w:r w:rsidR="00BE1554">
        <w:t>strong effects</w:t>
      </w:r>
      <w:r w:rsidR="004138EA">
        <w:t>)</w:t>
      </w:r>
      <w:r w:rsidR="00AB57E2" w:rsidRPr="00DA37A2">
        <w:t xml:space="preserve"> </w:t>
      </w:r>
      <w:r w:rsidR="00AB57E2">
        <w:t xml:space="preserve">and the </w:t>
      </w:r>
      <w:r w:rsidR="00634048">
        <w:t>environmental conditions</w:t>
      </w:r>
      <w:r w:rsidR="00AB57E2" w:rsidRPr="00DA37A2">
        <w:t xml:space="preserve"> </w:t>
      </w:r>
      <w:r w:rsidR="00634048" w:rsidRPr="00DA37A2">
        <w:t>to be preserved in the batch correction</w:t>
      </w:r>
      <w:r w:rsidR="00634048">
        <w:t xml:space="preserve"> </w:t>
      </w:r>
      <w:r w:rsidR="004138EA">
        <w:t>(</w:t>
      </w:r>
      <w:r w:rsidR="00634048">
        <w:t xml:space="preserve">tree age and site type, </w:t>
      </w:r>
      <w:r w:rsidR="004138EA">
        <w:t>in the case of Athert</w:t>
      </w:r>
      <w:r w:rsidR="00DF1666">
        <w:t>o</w:t>
      </w:r>
      <w:r w:rsidR="004138EA">
        <w:t xml:space="preserve">n et al. 2025, as they were </w:t>
      </w:r>
      <w:r w:rsidR="00DF1666">
        <w:t xml:space="preserve">important </w:t>
      </w:r>
      <w:r w:rsidR="004138EA">
        <w:t xml:space="preserve">variables </w:t>
      </w:r>
      <w:r w:rsidR="00DF1666">
        <w:t>in the study design)</w:t>
      </w:r>
      <w:r w:rsidR="00AB57E2" w:rsidRPr="00DA37A2">
        <w:t>.</w:t>
      </w:r>
      <w:r w:rsidR="00AB57E2">
        <w:t xml:space="preserve"> </w:t>
      </w:r>
      <w:r w:rsidR="00DF1666">
        <w:t>Batch correction is an optional step and does not need to be used in all downstream normalizations and transformations. For example, in Atherton et al. 2025, as batch correction was only done to account for differences in sample type for beta diversity analyses</w:t>
      </w:r>
      <w:r w:rsidR="00634048">
        <w:t>, not</w:t>
      </w:r>
      <w:r w:rsidR="00DF1666">
        <w:t xml:space="preserve"> </w:t>
      </w:r>
      <w:r w:rsidR="00634048">
        <w:t>for differential abundance analyses</w:t>
      </w:r>
      <w:r w:rsidR="00DF1666">
        <w:t xml:space="preserve">.  </w:t>
      </w:r>
    </w:p>
    <w:p w14:paraId="7A8C0678" w14:textId="5E0D2153" w:rsidR="009E34F4" w:rsidRDefault="009E34F4" w:rsidP="00D87226">
      <w:pPr>
        <w:spacing w:line="480" w:lineRule="auto"/>
      </w:pPr>
    </w:p>
    <w:p w14:paraId="38C46689" w14:textId="5E44CC05" w:rsidR="00F2595A" w:rsidRDefault="00F2595A" w:rsidP="00D87226">
      <w:pPr>
        <w:spacing w:line="480" w:lineRule="auto"/>
      </w:pPr>
    </w:p>
    <w:p w14:paraId="1053D3A1" w14:textId="4971CCBB" w:rsidR="00F2595A" w:rsidRDefault="00F2595A" w:rsidP="00D87226">
      <w:pPr>
        <w:spacing w:line="480" w:lineRule="auto"/>
      </w:pPr>
    </w:p>
    <w:p w14:paraId="2DC80DFB" w14:textId="77777777" w:rsidR="00F2595A" w:rsidRDefault="00F2595A" w:rsidP="00D87226">
      <w:pPr>
        <w:spacing w:line="480" w:lineRule="auto"/>
      </w:pPr>
    </w:p>
    <w:p w14:paraId="3F1893BE" w14:textId="53F118F6" w:rsidR="009E34F4" w:rsidRDefault="009E34F4" w:rsidP="00D87226">
      <w:pPr>
        <w:spacing w:line="480" w:lineRule="auto"/>
      </w:pPr>
      <w:r>
        <w:rPr>
          <w:noProof/>
        </w:rPr>
        <w:drawing>
          <wp:inline distT="0" distB="0" distL="0" distR="0" wp14:anchorId="5BAD6AF0" wp14:editId="28B65361">
            <wp:extent cx="5943600" cy="2122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herton_16S_check_batch_effect_20250317.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122805"/>
                    </a:xfrm>
                    <a:prstGeom prst="rect">
                      <a:avLst/>
                    </a:prstGeom>
                  </pic:spPr>
                </pic:pic>
              </a:graphicData>
            </a:graphic>
          </wp:inline>
        </w:drawing>
      </w:r>
    </w:p>
    <w:p w14:paraId="63578515" w14:textId="601FFC8D" w:rsidR="009E34F4" w:rsidRPr="00942A2F" w:rsidRDefault="009E34F4" w:rsidP="00D87226">
      <w:pPr>
        <w:spacing w:line="480" w:lineRule="auto"/>
      </w:pPr>
      <w:r>
        <w:rPr>
          <w:b/>
        </w:rPr>
        <w:lastRenderedPageBreak/>
        <w:t xml:space="preserve">Fig. </w:t>
      </w:r>
      <w:r w:rsidR="00942A2F">
        <w:rPr>
          <w:b/>
        </w:rPr>
        <w:t>4:</w:t>
      </w:r>
      <w:r w:rsidR="00942A2F">
        <w:t xml:space="preserve"> Example checking for batch effect output. </w:t>
      </w:r>
      <w:r w:rsidR="00F2595A">
        <w:t xml:space="preserve">The effect of sample type was corrected for with ComBat_seq in this dataset, as the different sample types were extracted and amplified with different methods, while the effect of tree age and site type (tree_pit_type) were maintained as biological co-variates in the batch correction step. </w:t>
      </w:r>
    </w:p>
    <w:p w14:paraId="48E836AF" w14:textId="77777777" w:rsidR="003C4730" w:rsidRDefault="003C4730" w:rsidP="00D87226">
      <w:pPr>
        <w:spacing w:line="480" w:lineRule="auto"/>
      </w:pPr>
    </w:p>
    <w:p w14:paraId="6A0E7759" w14:textId="7C1F6B54" w:rsidR="007B2582" w:rsidRDefault="007B2582" w:rsidP="00D87226">
      <w:pPr>
        <w:spacing w:line="480" w:lineRule="auto"/>
        <w:rPr>
          <w:u w:val="single"/>
        </w:rPr>
      </w:pPr>
      <w:r>
        <w:rPr>
          <w:u w:val="single"/>
        </w:rPr>
        <w:t xml:space="preserve">STEP </w:t>
      </w:r>
      <w:r w:rsidR="00AB57E2">
        <w:rPr>
          <w:u w:val="single"/>
        </w:rPr>
        <w:t>6</w:t>
      </w:r>
      <w:r>
        <w:rPr>
          <w:u w:val="single"/>
        </w:rPr>
        <w:t xml:space="preserve">: </w:t>
      </w:r>
      <w:r w:rsidR="007C59D7">
        <w:rPr>
          <w:u w:val="single"/>
        </w:rPr>
        <w:t xml:space="preserve">NORMALIZE </w:t>
      </w:r>
      <w:r>
        <w:rPr>
          <w:u w:val="single"/>
        </w:rPr>
        <w:t>DATA</w:t>
      </w:r>
    </w:p>
    <w:p w14:paraId="37F003A8" w14:textId="4E20C545" w:rsidR="005C5D5C" w:rsidRDefault="001D4E1E" w:rsidP="00D87226">
      <w:pPr>
        <w:spacing w:line="480" w:lineRule="auto"/>
      </w:pPr>
      <w:r>
        <w:t xml:space="preserve">Untransformed counts </w:t>
      </w:r>
      <w:r w:rsidR="00780DA4">
        <w:t xml:space="preserve">of an ASV across samples </w:t>
      </w:r>
      <w:r w:rsidR="00A87657">
        <w:t>can</w:t>
      </w:r>
      <w:r w:rsidRPr="001D4E1E">
        <w:t xml:space="preserve"> vary by </w:t>
      </w:r>
      <w:r>
        <w:t>methodological differences between</w:t>
      </w:r>
      <w:r w:rsidRPr="001D4E1E">
        <w:t xml:space="preserve"> samples</w:t>
      </w:r>
      <w:r w:rsidR="00B9091A">
        <w:t xml:space="preserve"> that may obscure differences </w:t>
      </w:r>
      <w:r w:rsidR="00862DBD">
        <w:t xml:space="preserve">in community features (such as alpha-diversity, beta-diversity, and microbial group abundances) </w:t>
      </w:r>
      <w:r w:rsidR="00B9091A">
        <w:t>due to environmental conditions of interest</w:t>
      </w:r>
      <w:r w:rsidR="00DF1666">
        <w:t xml:space="preserve"> </w:t>
      </w:r>
      <w:r w:rsidR="00DF1666">
        <w:fldChar w:fldCharType="begin"/>
      </w:r>
      <w:r w:rsidR="00DF1666">
        <w:instrText xml:space="preserve"> ADDIN ZOTERO_ITEM CSL_CITATION {"citationID":"6nSU7yMv","properties":{"formattedCitation":"(Gloor et al., 2017; McMurdie &amp; Holmes, 2014)","plainCitation":"(Gloor et al., 2017; McMurdie &amp; Holmes, 2014)","noteIndex":0},"citationItems":[{"id":5417,"uris":["http://zotero.org/users/9359754/items/Q7HBBU9F"],"itemData":{"id":5417,"type":"article-journal","abstract":"Datasets collected by high-throughput sequencing (HTS) of 16S rRNA gene amplimers, metagenomes or metatranscriptomes are commonplace and being used to study human disease states, ecological differences between sites, and the built environment. There is increasing awareness that microbiome datasets generated by HTS are compositional because they have an arbitrary total imposed by the instrument. However, many investigators are either unaware of this or assume specific properties of the compositional data. The purpose of this review is to alert investigators to the dangers inherent in ignoring the compositional nature of the data, and point out that HTS datasets derived from microbiome studies can and should be treated as compositions at all stages of analysis. We briefly introduce compositional data, illustrate the pathologies that occur when compositional data are analyzed inappropriately, and finally give guidance and point to resources and examples for the analysis of microbiome datasets using compositional data analysis.","container-title":"Frontiers in Microbiology","ISSN":"1664-302X","source":"Frontiers","title":"Microbiome Datasets Are Compositional: And This Is Not Optional","title-short":"Microbiome Datasets Are Compositional","URL":"https://www.frontiersin.org/articles/10.3389/fmicb.2017.02224","volume":"8","author":[{"family":"Gloor","given":"Gregory B."},{"family":"Macklaim","given":"Jean M."},{"family":"Pawlowsky-Glahn","given":"Vera"},{"family":"Egozcue","given":"Juan J."}],"accessed":{"date-parts":[["2023",10,6]]},"issued":{"date-parts":[["2017"]]},"citation-key":"gloor2017"}},{"id":9011,"uris":["http://zotero.org/users/9359754/items/BE6LY8ZN"],"itemData":{"id":9011,"type":"article-journal","abstract":"Current practice in the normalization of microbiome count data is inefficient in the statistical sense. For apparently historical reasons, the common approach is either to use simple proportions (which does not address heteroscedasticity) or to use rarefying of counts, even though both of these approaches are inappropriate for detection of differentially abundant species. Well-established statistical theory is available that simultaneously accounts for library size differences and biological variability using an appropriate mixture model. Moreover, specific implementations for DNA sequencing read count data (based on a Negative Binomial model for instance) are already available in RNA-Seq focused R packages such as edgeR and DESeq. Here we summarize the supporting statistical theory and use simulations and empirical data to demonstrate substantial improvements provided by a relevant mixture model framework over simple proportions or rarefying. We show how both proportions and rarefied counts result in a high rate of false positives in tests for species that are differentially abundant across sample classes. Regarding microbiome sample-wise clustering, we also show that the rarefying procedure often discards samples that can be accurately clustered by alternative methods. We further compare different Negative Binomial methods with a recently-described zero-inflated Gaussian mixture, implemented in a package called metagenomeSeq. We find that metagenomeSeq performs well when there is an adequate number of biological replicates, but it nevertheless tends toward a higher false positive rate. Based on these results and well-established statistical theory, we advocate that investigators avoid rarefying altogether. We have provided microbiome-specific extensions to these tools in the R package, phyloseq.","container-title":"PLOS Computational Biology","DOI":"10.1371/journal.pcbi.1003531","ISSN":"1553-7358","issue":"4","journalAbbreviation":"PLOS Computational Biology","language":"en","note":"publisher: Public Library of Science","page":"e1003531","source":"PLoS Journals","title":"Waste Not, Want Not: Why Rarefying Microbiome Data Is Inadmissible","title-short":"Waste Not, Want Not","volume":"10","author":[{"family":"McMurdie","given":"Paul J."},{"family":"Holmes","given":"Susan"}],"issued":{"date-parts":[["2014",4,3]]},"citation-key":"mcmurdie2014"}}],"schema":"https://github.com/citation-style-language/schema/raw/master/csl-citation.json"} </w:instrText>
      </w:r>
      <w:r w:rsidR="00DF1666">
        <w:fldChar w:fldCharType="separate"/>
      </w:r>
      <w:r w:rsidR="00DF1666">
        <w:rPr>
          <w:noProof/>
        </w:rPr>
        <w:t>(Gloor et al., 2017; McMurdie &amp; Holmes, 2014)</w:t>
      </w:r>
      <w:r w:rsidR="00DF1666">
        <w:fldChar w:fldCharType="end"/>
      </w:r>
      <w:r w:rsidR="00B9091A">
        <w:t xml:space="preserve">. </w:t>
      </w:r>
      <w:r w:rsidR="00005AA7" w:rsidRPr="00DA37A2">
        <w:t xml:space="preserve">To </w:t>
      </w:r>
      <w:r w:rsidR="00977365">
        <w:t>“normalize”</w:t>
      </w:r>
      <w:r w:rsidR="00780DA4" w:rsidRPr="00DA37A2">
        <w:t xml:space="preserve"> </w:t>
      </w:r>
      <w:r w:rsidR="00005AA7" w:rsidRPr="00DA37A2">
        <w:t xml:space="preserve">ASV counts </w:t>
      </w:r>
      <w:r w:rsidR="00780DA4">
        <w:t xml:space="preserve">so they are more comparable </w:t>
      </w:r>
      <w:r w:rsidR="00005AA7" w:rsidRPr="00DA37A2">
        <w:t xml:space="preserve">across samples </w:t>
      </w:r>
      <w:r w:rsidR="00780DA4">
        <w:t>and</w:t>
      </w:r>
      <w:r w:rsidR="00005AA7" w:rsidRPr="00DA37A2">
        <w:t xml:space="preserve"> sample type</w:t>
      </w:r>
      <w:r w:rsidR="00780DA4">
        <w:t>s</w:t>
      </w:r>
      <w:r w:rsidR="00005AA7" w:rsidRPr="00DA37A2">
        <w:t xml:space="preserve">, </w:t>
      </w:r>
      <w:r w:rsidR="00F600B7">
        <w:t xml:space="preserve">many </w:t>
      </w:r>
      <w:r w:rsidR="00505EC1">
        <w:t xml:space="preserve">different </w:t>
      </w:r>
      <w:r w:rsidR="00977365">
        <w:t xml:space="preserve">transformation </w:t>
      </w:r>
      <w:r w:rsidR="00F600B7">
        <w:t>processes can be used</w:t>
      </w:r>
      <w:r w:rsidR="00DF1666">
        <w:t xml:space="preserve"> </w:t>
      </w:r>
      <w:r w:rsidR="00DF1666">
        <w:fldChar w:fldCharType="begin"/>
      </w:r>
      <w:r w:rsidR="00DF1666">
        <w:instrText xml:space="preserve"> ADDIN ZOTERO_ITEM CSL_CITATION {"citationID":"eVnPa5Ra","properties":{"formattedCitation":"(Lin &amp; Peddada, 2024)","plainCitation":"(Lin &amp; Peddada, 2024)","noteIndex":0},"citationItems":[{"id":9022,"uris":["http://zotero.org/users/9359754/items/GFD822EZ"],"itemData":{"id":9022,"type":"article-journal","abstract":"Microbiome differential abundance analysis methods for two groups are well-established in the literature. However, many microbiome studies involve more than two groups, sometimes even ordered groups such as stages of a disease, and require different types of comparison. Standard pairwise comparisons are inefficient in terms of power and false discovery rates. In this Article, we propose a general framework, ANCOM-BC2, for performing a wide range of multigroup analyses with covariate adjustments and repeated measures. We illustrate our methodology through two real datasets. The first example explores the effects of aridity on the soil microbiome, and the second example investigates the effects of surgical interventions on the microbiome of patients with inflammatory bowel disease.","container-title":"Nature Methods","DOI":"10.1038/s41592-023-02092-7","ISSN":"1548-7105","issue":"1","journalAbbreviation":"Nat Methods","language":"en","license":"2023 This is a U.S. Government work and not under copyright protection in the US; foreign copyright protection may apply","note":"publisher: Nature Publishing Group","page":"83-91","source":"www.nature.com","title":"Multigroup analysis of compositions of microbiomes with covariate adjustments and repeated measures","volume":"21","author":[{"family":"Lin","given":"Huang"},{"family":"Peddada","given":"Shyamal Das"}],"issued":{"date-parts":[["2024",1]]},"citation-key":"lin2024"}}],"schema":"https://github.com/citation-style-language/schema/raw/master/csl-citation.json"} </w:instrText>
      </w:r>
      <w:r w:rsidR="00DF1666">
        <w:fldChar w:fldCharType="separate"/>
      </w:r>
      <w:r w:rsidR="00DF1666">
        <w:rPr>
          <w:noProof/>
        </w:rPr>
        <w:t>(Lin &amp; Peddada, 2024)</w:t>
      </w:r>
      <w:r w:rsidR="00DF1666">
        <w:fldChar w:fldCharType="end"/>
      </w:r>
      <w:r w:rsidR="00DF1666">
        <w:t>.</w:t>
      </w:r>
      <w:r w:rsidR="00F600B7">
        <w:t xml:space="preserve"> </w:t>
      </w:r>
      <w:r w:rsidR="00DF1008">
        <w:t xml:space="preserve">Our protocol generates three different types of data transformations, which can be useful in different situations: center log-ratio (CLR) transformation, Z-score transformation, and rarefaction. </w:t>
      </w:r>
      <w:r w:rsidR="003C7070">
        <w:t xml:space="preserve">CLR transformation </w:t>
      </w:r>
      <w:r w:rsidR="00EB3AFB">
        <w:t>is often preferred in sequence-based microbiome analyses, as it accounts for the compositional nature of amplicon sequence-based microbiome datasets</w:t>
      </w:r>
      <w:r w:rsidR="00DF1666">
        <w:t xml:space="preserve"> </w:t>
      </w:r>
      <w:r w:rsidR="00D91954">
        <w:fldChar w:fldCharType="begin"/>
      </w:r>
      <w:r w:rsidR="00D91954">
        <w:instrText xml:space="preserve"> ADDIN ZOTERO_ITEM CSL_CITATION {"citationID":"ZWtDZJR0","properties":{"formattedCitation":"(Gloor et al., 2017; Greenacre et al., 2021)","plainCitation":"(Gloor et al., 2017; Greenacre et al., 2021)","noteIndex":0},"citationItems":[{"id":5417,"uris":["http://zotero.org/users/9359754/items/Q7HBBU9F"],"itemData":{"id":5417,"type":"article-journal","abstract":"Datasets collected by high-throughput sequencing (HTS) of 16S rRNA gene amplimers, metagenomes or metatranscriptomes are commonplace and being used to study human disease states, ecological differences between sites, and the built environment. There is increasing awareness that microbiome datasets generated by HTS are compositional because they have an arbitrary total imposed by the instrument. However, many investigators are either unaware of this or assume specific properties of the compositional data. The purpose of this review is to alert investigators to the dangers inherent in ignoring the compositional nature of the data, and point out that HTS datasets derived from microbiome studies can and should be treated as compositions at all stages of analysis. We briefly introduce compositional data, illustrate the pathologies that occur when compositional data are analyzed inappropriately, and finally give guidance and point to resources and examples for the analysis of microbiome datasets using compositional data analysis.","container-title":"Frontiers in Microbiology","ISSN":"1664-302X","source":"Frontiers","title":"Microbiome Datasets Are Compositional: And This Is Not Optional","title-short":"Microbiome Datasets Are Compositional","URL":"https://www.frontiersin.org/articles/10.3389/fmicb.2017.02224","volume":"8","author":[{"family":"Gloor","given":"Gregory B."},{"family":"Macklaim","given":"Jean M."},{"family":"Pawlowsky-Glahn","given":"Vera"},{"family":"Egozcue","given":"Juan J."}],"accessed":{"date-parts":[["2023",10,6]]},"issued":{"date-parts":[["2017"]]},"citation-key":"gloor2017"}},{"id":9024,"uris":["http://zotero.org/users/9359754/items/K6ZUQ75B"],"itemData":{"id":9024,"type":"article-journal","abstract":"Microbiome and omics datasets are, by their intrinsic biological nature, of high dimensionality, characterized by counts of large numbers of components (microbial genes, operational taxonomic units, RNA transcripts, etc.). These data are generally regarded as compositional since the total number of counts identified within a sample is irrelevant. The central concept in compositional data analysis is the logratio transformation, the simplest being the additive logratios with respect to a fixed reference component. A full set of additive logratios is not isometric, that is they do not reproduce the geometry of all pairwise logratios exactly, but their lack of isometry can be measured by the Procrustes correlation. The reference component can be chosen to maximize the Procrustes correlation between the additive logratio geometry and the exact logratio geometry, and for high-dimensional data there are many potential references. As a secondary criterion, minimizing the variance of the reference component's log-transformed relative abundance values makes the subsequent interpretation of the logratios even easier. On each of three high-dimensional omics datasets the additive logratio transformation was performed, using references that were identified according to the abovementioned criteria. For each dataset the compositional data structure was successfully reproduced, that is the additive logratios were very close to being isometric. The Procrustes correlations achieved for these datasets were 0.9991, 0.9974, and 0.9902, respectively. We thus demonstrate, for high-dimensional compositional data, that additive logratios can provide a valid choice as transformed variables, which (a) are subcompositionally coherent, (b) explain 100% of the total logratio variance and (c) come measurably very close to being isometric. The interpretation of additive logratios is much simpler than the complex isometric alternatives and, when the variance of the log-transformed reference is very low, it is even simpler since each additive logratio can be identified with a corresponding compositional component.","container-title":"Frontiers in Microbiology","DOI":"10.3389/fmicb.2021.727398","ISSN":"1664-302X","journalAbbreviation":"Front. Microbiol.","language":"English","note":"publisher: Frontiers","source":"Frontiers","title":"Compositional Data Analysis of Microbiome and Any-Omics Datasets: A Validation of the Additive Logratio Transformation","title-short":"Compositional Data Analysis of Microbiome and Any-Omics Datasets","URL":"https://www.frontiersin.org/journals/microbiology/articles/10.3389/fmicb.2021.727398/full","volume":"12","author":[{"family":"Greenacre","given":"Michael"},{"family":"Martínez-Álvaro","given":"Marina"},{"family":"Blasco","given":"Agustín"}],"accessed":{"date-parts":[["2025",8,4]]},"issued":{"date-parts":[["2021",10,11]]},"citation-key":"greenacre2021"}}],"schema":"https://github.com/citation-style-language/schema/raw/master/csl-citation.json"} </w:instrText>
      </w:r>
      <w:r w:rsidR="00D91954">
        <w:fldChar w:fldCharType="separate"/>
      </w:r>
      <w:r w:rsidR="00D91954">
        <w:rPr>
          <w:noProof/>
        </w:rPr>
        <w:t>(Gloor et al., 2017; Greenacre et al., 2021)</w:t>
      </w:r>
      <w:r w:rsidR="00D91954">
        <w:fldChar w:fldCharType="end"/>
      </w:r>
      <w:r w:rsidR="003C7070">
        <w:t xml:space="preserve">. </w:t>
      </w:r>
      <w:r w:rsidR="00D90CA2">
        <w:t xml:space="preserve">Therefore, our code </w:t>
      </w:r>
      <w:r w:rsidR="00D80D10">
        <w:t>outputs a CLR-transformed ASV table, as well as</w:t>
      </w:r>
      <w:r w:rsidR="00D90CA2">
        <w:t xml:space="preserve"> an </w:t>
      </w:r>
      <w:r w:rsidR="00D90CA2" w:rsidRPr="00D90CA2">
        <w:t xml:space="preserve">Aitchison </w:t>
      </w:r>
      <w:r w:rsidR="00D90CA2">
        <w:t>dissimilarity</w:t>
      </w:r>
      <w:r w:rsidR="00D90CA2" w:rsidRPr="00D90CA2">
        <w:t xml:space="preserve"> matrix (which performs a log ratio transformation)</w:t>
      </w:r>
      <w:r w:rsidR="00D90CA2">
        <w:t xml:space="preserve"> for pair-wise comparison of community differences across all samples. </w:t>
      </w:r>
      <w:r w:rsidR="003C7070">
        <w:t xml:space="preserve">Z-score transformation </w:t>
      </w:r>
      <w:r w:rsidR="00213DF9">
        <w:t xml:space="preserve">can create datasets that follow a normal or gaussian distribution </w:t>
      </w:r>
      <w:r w:rsidR="00186245">
        <w:t>around</w:t>
      </w:r>
      <w:r w:rsidR="00213DF9">
        <w:t xml:space="preserve"> a mean</w:t>
      </w:r>
      <w:r w:rsidR="00D91954">
        <w:t xml:space="preserve"> </w:t>
      </w:r>
      <w:r w:rsidR="00D91954">
        <w:fldChar w:fldCharType="begin"/>
      </w:r>
      <w:r w:rsidR="00D91954">
        <w:instrText xml:space="preserve"> ADDIN ZOTERO_ITEM CSL_CITATION {"citationID":"g2alrZj9","properties":{"formattedCitation":"(Llor\\uc0\\u233{}ns-Rico et al., 2021)","plainCitation":"(Lloréns-Rico et al., 2021)","noteIndex":0},"citationItems":[{"id":9026,"uris":["http://zotero.org/users/9359754/items/DJ2L2N8A"],"itemData":{"id":9026,"type":"article-journal","abstract":"While metagenomic sequencing has become the tool of preference to study host-associated microbial communities, downstream analyses and clinical interpretation of microbiome data remains challenging due to the sparsity and compositionality of sequence matrices. Here, we evaluate both computational and experimental approaches proposed to mitigate the impact of these outstanding issues. Generating fecal metagenomes drawn from simulated microbial communities, we benchmark the performance of thirteen commonly used analytical approaches in terms of diversity estimation, identification of taxon-taxon associations, and assessment of taxon-metadata correlations under the challenge of varying microbial ecosystem loads. We find quantitative approaches including experimental procedures to incorporate microbial load variation in downstream analyses to perform significantly better than computational strategies designed to mitigate data compositionality and sparsity, not only improving the identification of true positive associations, but also reducing false positive detection. When analyzing simulated scenarios of low microbial load dysbiosis as observed in inflammatory pathologies, quantitative methods correcting for sampling depth show higher precision compared to uncorrected scaling. Overall, our findings advocate for a wider adoption of experimental quantitative approaches in microbiome research, yet also suggest preferred transformations for specific cases where determination of microbial load of samples is not feasible.","container-title":"Nature Communications","DOI":"10.1038/s41467-021-23821-6","ISSN":"2041-1723","issue":"1","journalAbbreviation":"Nat Commun","language":"en","license":"2021 The Author(s)","note":"publisher: Nature Publishing Group","page":"3562","source":"www.nature.com","title":"Benchmarking microbiome transformations favors experimental quantitative approaches to address compositionality and sampling depth biases","volume":"12","author":[{"family":"Lloréns-Rico","given":"Verónica"},{"family":"Vieira-Silva","given":"Sara"},{"family":"Gonçalves","given":"Pedro J."},{"family":"Falony","given":"Gwen"},{"family":"Raes","given":"Jeroen"}],"issued":{"date-parts":[["2021",6,11]]},"citation-key":"llorens-rico2021"}}],"schema":"https://github.com/citation-style-language/schema/raw/master/csl-citation.json"} </w:instrText>
      </w:r>
      <w:r w:rsidR="00D91954">
        <w:fldChar w:fldCharType="separate"/>
      </w:r>
      <w:r w:rsidR="00D91954" w:rsidRPr="00D91954">
        <w:rPr>
          <w:rFonts w:cs="Times New Roman"/>
        </w:rPr>
        <w:t>(Lloréns-Rico et al., 2021)</w:t>
      </w:r>
      <w:r w:rsidR="00D91954">
        <w:fldChar w:fldCharType="end"/>
      </w:r>
      <w:r w:rsidR="00213DF9">
        <w:t xml:space="preserve"> and </w:t>
      </w:r>
      <w:r w:rsidR="00186245">
        <w:t>is</w:t>
      </w:r>
      <w:r w:rsidR="00213DF9">
        <w:t xml:space="preserve"> one way to </w:t>
      </w:r>
      <w:r w:rsidR="00186245">
        <w:t xml:space="preserve">make datasets from different sample types (e.g., soil vs. leaves) comparable. </w:t>
      </w:r>
      <w:r w:rsidR="0012450B">
        <w:t xml:space="preserve">Rarefaction </w:t>
      </w:r>
      <w:r w:rsidR="005943E5">
        <w:t xml:space="preserve">randomly </w:t>
      </w:r>
      <w:r w:rsidR="00DD3B48">
        <w:t xml:space="preserve">selects </w:t>
      </w:r>
      <w:r w:rsidR="005943E5">
        <w:t xml:space="preserve">sequences </w:t>
      </w:r>
      <w:r w:rsidR="007B5961">
        <w:t xml:space="preserve">to include in each sample, holding all samples </w:t>
      </w:r>
      <w:r w:rsidR="005943E5">
        <w:t>to the same read depth</w:t>
      </w:r>
      <w:r w:rsidR="007B5961">
        <w:t xml:space="preserve">. This </w:t>
      </w:r>
      <w:r w:rsidR="005943E5">
        <w:t>can remove data to the point that it is unsuitable for calculation of differential taxon abundances across samples</w:t>
      </w:r>
      <w:r w:rsidR="00D91954">
        <w:t xml:space="preserve"> </w:t>
      </w:r>
      <w:r w:rsidR="00D91954">
        <w:lastRenderedPageBreak/>
        <w:fldChar w:fldCharType="begin"/>
      </w:r>
      <w:r w:rsidR="00D91954">
        <w:instrText xml:space="preserve"> ADDIN ZOTERO_ITEM CSL_CITATION {"citationID":"Obx6osXJ","properties":{"formattedCitation":"(McMurdie &amp; Holmes, 2014)","plainCitation":"(McMurdie &amp; Holmes, 2014)","noteIndex":0},"citationItems":[{"id":9011,"uris":["http://zotero.org/users/9359754/items/BE6LY8ZN"],"itemData":{"id":9011,"type":"article-journal","abstract":"Current practice in the normalization of microbiome count data is inefficient in the statistical sense. For apparently historical reasons, the common approach is either to use simple proportions (which does not address heteroscedasticity) or to use rarefying of counts, even though both of these approaches are inappropriate for detection of differentially abundant species. Well-established statistical theory is available that simultaneously accounts for library size differences and biological variability using an appropriate mixture model. Moreover, specific implementations for DNA sequencing read count data (based on a Negative Binomial model for instance) are already available in RNA-Seq focused R packages such as edgeR and DESeq. Here we summarize the supporting statistical theory and use simulations and empirical data to demonstrate substantial improvements provided by a relevant mixture model framework over simple proportions or rarefying. We show how both proportions and rarefied counts result in a high rate of false positives in tests for species that are differentially abundant across sample classes. Regarding microbiome sample-wise clustering, we also show that the rarefying procedure often discards samples that can be accurately clustered by alternative methods. We further compare different Negative Binomial methods with a recently-described zero-inflated Gaussian mixture, implemented in a package called metagenomeSeq. We find that metagenomeSeq performs well when there is an adequate number of biological replicates, but it nevertheless tends toward a higher false positive rate. Based on these results and well-established statistical theory, we advocate that investigators avoid rarefying altogether. We have provided microbiome-specific extensions to these tools in the R package, phyloseq.","container-title":"PLOS Computational Biology","DOI":"10.1371/journal.pcbi.1003531","ISSN":"1553-7358","issue":"4","journalAbbreviation":"PLOS Computational Biology","language":"en","note":"publisher: Public Library of Science","page":"e1003531","source":"PLoS Journals","title":"Waste Not, Want Not: Why Rarefying Microbiome Data Is Inadmissible","title-short":"Waste Not, Want Not","volume":"10","author":[{"family":"McMurdie","given":"Paul J."},{"family":"Holmes","given":"Susan"}],"issued":{"date-parts":[["2014",4,3]]},"citation-key":"mcmurdie2014"}}],"schema":"https://github.com/citation-style-language/schema/raw/master/csl-citation.json"} </w:instrText>
      </w:r>
      <w:r w:rsidR="00D91954">
        <w:fldChar w:fldCharType="separate"/>
      </w:r>
      <w:r w:rsidR="00D91954">
        <w:rPr>
          <w:noProof/>
        </w:rPr>
        <w:t>(McMurdie &amp; Holmes, 2014)</w:t>
      </w:r>
      <w:r w:rsidR="00D91954">
        <w:fldChar w:fldCharType="end"/>
      </w:r>
      <w:r w:rsidR="005943E5">
        <w:t xml:space="preserve">. However, </w:t>
      </w:r>
      <w:r w:rsidR="00DC0AD4" w:rsidRPr="000934AC">
        <w:t>we</w:t>
      </w:r>
      <w:r w:rsidR="00DC0AD4">
        <w:t xml:space="preserve"> have</w:t>
      </w:r>
      <w:r w:rsidR="00DC0AD4" w:rsidRPr="000934AC">
        <w:t xml:space="preserve"> </w:t>
      </w:r>
      <w:r w:rsidR="000934AC" w:rsidRPr="000934AC">
        <w:t xml:space="preserve">found that CLR </w:t>
      </w:r>
      <w:r w:rsidR="00D364BE">
        <w:t>does not sufficiently control</w:t>
      </w:r>
      <w:r w:rsidR="000934AC" w:rsidRPr="000934AC">
        <w:t xml:space="preserve"> for differences in sequencing depth</w:t>
      </w:r>
      <w:r w:rsidR="00D364BE">
        <w:t xml:space="preserve"> across samples</w:t>
      </w:r>
      <w:r w:rsidR="000934AC" w:rsidRPr="000934AC">
        <w:t xml:space="preserve"> to calculate alpha diversity metrics.</w:t>
      </w:r>
      <w:r w:rsidR="00D364BE">
        <w:t xml:space="preserve"> In addition, rarefaction can </w:t>
      </w:r>
      <w:r w:rsidR="00D364BE" w:rsidRPr="00DA37A2">
        <w:t xml:space="preserve">reduce the false discovery rate of ASVs </w:t>
      </w:r>
      <w:r w:rsidR="00D364BE">
        <w:t xml:space="preserve">when </w:t>
      </w:r>
      <w:r w:rsidR="00D364BE" w:rsidRPr="00DA37A2">
        <w:t>samples var</w:t>
      </w:r>
      <w:r w:rsidR="00D364BE">
        <w:t>y</w:t>
      </w:r>
      <w:r w:rsidR="00D364BE" w:rsidRPr="00DA37A2">
        <w:t xml:space="preserve"> more than 10-fold in sequencing depth</w:t>
      </w:r>
      <w:r w:rsidR="00D364BE">
        <w:t xml:space="preserve"> </w:t>
      </w:r>
      <w:r w:rsidR="00D364BE">
        <w:fldChar w:fldCharType="begin"/>
      </w:r>
      <w:r w:rsidR="00D364BE">
        <w:instrText xml:space="preserve"> ADDIN ZOTERO_ITEM CSL_CITATION {"citationID":"WSzYJJLk","properties":{"formattedCitation":"(Weiss et al., 2017)","plainCitation":"(Weiss et al., 2017)","noteIndex":0},"citationItems":[{"id":6486,"uris":["http://zotero.org/users/9359754/items/QE4BJDGH"],"itemData":{"id":6486,"type":"article-journal","abstract":"Data from 16S ribosomal RNA (rRNA) amplicon sequencing present challenges to ecological and statistical interpretation. In particular, library sizes often vary over several ranges of magnitude, and the data contains many zeros. Although we are typically interested in comparing relative abundance of taxa in the ecosystem of two or more groups, we can only measure the taxon relative abundance in specimens obtained from the ecosystems. Because the comparison of taxon relative abundance in the specimen is not equivalent to the comparison of taxon relative abundance in the ecosystems, this presents a special challenge. Second, because the relative abundance of taxa in the specimen (as well as in the ecosystem) sum to 1, these are compositional data. Because the compositional data are constrained by the simplex (sum to 1) and are not unconstrained in the Euclidean space, many standard methods of analysis are not applicable. Here, we evaluate how these challenges impact the performance of existing normalization methods and differential abundance analyses.","container-title":"Microbiome","DOI":"10.1186/s40168-017-0237-y","ISSN":"2049-2618","issue":"1","journalAbbreviation":"Microbiome","page":"27","source":"BioMed Central","title":"Normalization and microbial differential abundance strategies depend upon data characteristics","volume":"5","author":[{"family":"Weiss","given":"Sophie"},{"family":"Xu","given":"Zhenjiang Zech"},{"family":"Peddada","given":"Shyamal"},{"family":"Amir","given":"Amnon"},{"family":"Bittinger","given":"Kyle"},{"family":"Gonzalez","given":"Antonio"},{"family":"Lozupone","given":"Catherine"},{"family":"Zaneveld","given":"Jesse R."},{"family":"Vázquez-Baeza","given":"Yoshiki"},{"family":"Birmingham","given":"Amanda"},{"family":"Hyde","given":"Embriette R."},{"family":"Knight","given":"Rob"}],"issued":{"date-parts":[["2017",3,3]]},"citation-key":"weiss2017"}}],"schema":"https://github.com/citation-style-language/schema/raw/master/csl-citation.json"} </w:instrText>
      </w:r>
      <w:r w:rsidR="00D364BE">
        <w:fldChar w:fldCharType="separate"/>
      </w:r>
      <w:r w:rsidR="00D364BE">
        <w:rPr>
          <w:rFonts w:cs="Times New Roman"/>
        </w:rPr>
        <w:t>(Weiss et al., 2017)</w:t>
      </w:r>
      <w:r w:rsidR="00D364BE">
        <w:fldChar w:fldCharType="end"/>
      </w:r>
      <w:r w:rsidR="00D364BE">
        <w:t>, which is the case with most of our samples</w:t>
      </w:r>
      <w:r w:rsidR="00D364BE" w:rsidRPr="00DA37A2">
        <w:t xml:space="preserve">. </w:t>
      </w:r>
      <w:r w:rsidR="00676D9D">
        <w:t xml:space="preserve">As a result, we use rarefied data to calculate taxon and functional guild relative abundances, as well as alpha-diversity metrics. </w:t>
      </w:r>
      <w:r w:rsidR="00DF1008">
        <w:t>R</w:t>
      </w:r>
      <w:r w:rsidR="002315F9">
        <w:t>arefaction is conducted</w:t>
      </w:r>
      <w:r w:rsidR="00005AA7" w:rsidRPr="00DA37A2">
        <w:t xml:space="preserve"> with the rarefy_even_depth function in the phyloseq package in R</w:t>
      </w:r>
      <w:r w:rsidR="00E96A4F">
        <w:t xml:space="preserve"> </w:t>
      </w:r>
      <w:r w:rsidR="00005AA7">
        <w:fldChar w:fldCharType="begin"/>
      </w:r>
      <w:r w:rsidR="00A30B82">
        <w:instrText xml:space="preserve"> ADDIN ZOTERO_ITEM CSL_CITATION {"citationID":"VoFjy0lL","properties":{"formattedCitation":"(McMurdie &amp; Holmes, 2013)","plainCitation":"(McMurdie &amp; Holmes, 2013)","noteIndex":0},"citationItems":[{"id":6506,"uris":["http://zotero.org/users/9359754/items/RTICI9YY"],"itemData":{"id":6506,"type":"article-journal","abstract":"Background The analysis of microbial communities through DNA sequencing brings many challenges: the integration of different types of data with methods from ecology, genetics, phylogenetics, multivariate statistics, visualization and testing. With the increased breadth of experimental designs now being pursued, project-specific statistical analyses are often needed, and these analyses are often difficult (or impossible) for peer researchers to independently reproduce. The vast majority of the requisite tools for performing these analyses reproducibly are already implemented in R and its extensions (packages), but with limited support for high throughput microbiome census data. Results Here we describe a software project, phyloseq, dedicated to the object-oriented representation and analysis of microbiome census data in R. It supports importing data from a variety of common formats, as well as many analysis techniques. These include calibration, filtering, subsetting, agglomeration, multi-table comparisons, diversity analysis, parallelized Fast UniFrac, ordination methods, and production of publication-quality graphics; all in a manner that is easy to document, share, and modify. We show how to apply functions from other R packages to phyloseq-represented data, illustrating the availability of a large number of open source analysis techniques. We discuss the use of phyloseq with tools for reproducible research, a practice common in other fields but still rare in the analysis of highly parallel microbiome census data. We have made available all of the materials necessary to completely reproduce the analysis and figures included in this article, an example of best practices for reproducible research. Conclusions The phyloseq project for R is a new open-source software package, freely available on the web from both GitHub and Bioconductor.","container-title":"PLOS ONE","DOI":"10.1371/journal.pone.0061217","ISSN":"1932-6203","issue":"4","journalAbbreviation":"PLOS ONE","language":"en","note":"publisher: Public Library of Science","page":"e61217","source":"PLoS Journals","title":"phyloseq: An R Package for Reproducible Interactive Analysis and Graphics of Microbiome Census Data","title-short":"phyloseq","volume":"8","author":[{"family":"McMurdie","given":"Paul J."},{"family":"Holmes","given":"Susan"}],"issued":{"date-parts":[["2013",4,22]]},"citation-key":"mcmurdie2013"}}],"schema":"https://github.com/citation-style-language/schema/raw/master/csl-citation.json"} </w:instrText>
      </w:r>
      <w:r w:rsidR="00005AA7">
        <w:fldChar w:fldCharType="separate"/>
      </w:r>
      <w:r w:rsidR="00A30B82">
        <w:rPr>
          <w:rFonts w:cs="Times New Roman"/>
        </w:rPr>
        <w:t>(McMurdie &amp; Holmes, 2013)</w:t>
      </w:r>
      <w:r w:rsidR="00005AA7">
        <w:fldChar w:fldCharType="end"/>
      </w:r>
      <w:r w:rsidR="00005AA7" w:rsidRPr="00DA37A2">
        <w:t xml:space="preserve">. ASV counts </w:t>
      </w:r>
      <w:r w:rsidR="002315F9">
        <w:t xml:space="preserve">are rarefied </w:t>
      </w:r>
      <w:r w:rsidR="00005AA7" w:rsidRPr="00DA37A2">
        <w:t>for each sample type using random subsampling based on a read count that minimize</w:t>
      </w:r>
      <w:r w:rsidR="002315F9">
        <w:t>s</w:t>
      </w:r>
      <w:r w:rsidR="00005AA7" w:rsidRPr="00DA37A2">
        <w:t xml:space="preserve"> dropped samples and maximize</w:t>
      </w:r>
      <w:r w:rsidR="002315F9">
        <w:t>s</w:t>
      </w:r>
      <w:r w:rsidR="00005AA7" w:rsidRPr="00DA37A2">
        <w:t xml:space="preserve"> </w:t>
      </w:r>
      <w:r w:rsidR="00E96A4F">
        <w:t xml:space="preserve">the </w:t>
      </w:r>
      <w:r w:rsidR="00005AA7" w:rsidRPr="00DA37A2">
        <w:t>number of reads per sample</w:t>
      </w:r>
      <w:r w:rsidR="00E36763">
        <w:t xml:space="preserve">. </w:t>
      </w:r>
      <w:r w:rsidR="00D91954">
        <w:t xml:space="preserve">Rarefied data was then used downstream to calculate alpha diversity and determine the percent relative abundances of microbial functional guilds in each sample. </w:t>
      </w:r>
    </w:p>
    <w:p w14:paraId="50177AAC" w14:textId="46021FE0" w:rsidR="00CD4D93" w:rsidRDefault="00CD4D93" w:rsidP="00D87226">
      <w:pPr>
        <w:spacing w:line="480" w:lineRule="auto"/>
      </w:pPr>
      <w:r>
        <w:tab/>
        <w:t>To perform downstream beta diversity analyses, the</w:t>
      </w:r>
      <w:r w:rsidRPr="00DA37A2">
        <w:t xml:space="preserve"> Aitchison distance matrices of </w:t>
      </w:r>
      <w:r>
        <w:t>each data</w:t>
      </w:r>
      <w:r w:rsidRPr="00DA37A2">
        <w:t xml:space="preserve"> table</w:t>
      </w:r>
      <w:r>
        <w:t xml:space="preserve"> are calculated. A</w:t>
      </w:r>
      <w:r w:rsidRPr="00DA37A2">
        <w:t xml:space="preserve"> pseudocount of “1” </w:t>
      </w:r>
      <w:r w:rsidR="00C3444A">
        <w:t xml:space="preserve">is </w:t>
      </w:r>
      <w:r w:rsidRPr="00DA37A2">
        <w:t>added to all values</w:t>
      </w:r>
      <w:r>
        <w:t xml:space="preserve"> prior to the calculation </w:t>
      </w:r>
      <w:r>
        <w:fldChar w:fldCharType="begin"/>
      </w:r>
      <w:r>
        <w:instrText xml:space="preserve"> ADDIN ZOTERO_ITEM CSL_CITATION {"citationID":"UtLJtNzR","properties":{"formattedCitation":"(Gloor et al., 2017)","plainCitation":"(Gloor et al., 2017)","noteIndex":0},"citationItems":[{"id":5417,"uris":["http://zotero.org/users/9359754/items/Q7HBBU9F"],"itemData":{"id":5417,"type":"article-journal","abstract":"Datasets collected by high-throughput sequencing (HTS) of 16S rRNA gene amplimers, metagenomes or metatranscriptomes are commonplace and being used to study human disease states, ecological differences between sites, and the built environment. There is increasing awareness that microbiome datasets generated by HTS are compositional because they have an arbitrary total imposed by the instrument. However, many investigators are either unaware of this or assume specific properties of the compositional data. The purpose of this review is to alert investigators to the dangers inherent in ignoring the compositional nature of the data, and point out that HTS datasets derived from microbiome studies can and should be treated as compositions at all stages of analysis. We briefly introduce compositional data, illustrate the pathologies that occur when compositional data are analyzed inappropriately, and finally give guidance and point to resources and examples for the analysis of microbiome datasets using compositional data analysis.","container-title":"Frontiers in Microbiology","ISSN":"1664-302X","source":"Frontiers","title":"Microbiome Datasets Are Compositional: And This Is Not Optional","title-short":"Microbiome Datasets Are Compositional","URL":"https://www.frontiersin.org/articles/10.3389/fmicb.2017.02224","volume":"8","author":[{"family":"Gloor","given":"Gregory B."},{"family":"Macklaim","given":"Jean M."},{"family":"Pawlowsky-Glahn","given":"Vera"},{"family":"Egozcue","given":"Juan J."}],"accessed":{"date-parts":[["2023",10,6]]},"issued":{"date-parts":[["2017"]]},"citation-key":"gloor2017"}}],"schema":"https://github.com/citation-style-language/schema/raw/master/csl-citation.json"} </w:instrText>
      </w:r>
      <w:r>
        <w:fldChar w:fldCharType="separate"/>
      </w:r>
      <w:r>
        <w:rPr>
          <w:rFonts w:cs="Times New Roman"/>
        </w:rPr>
        <w:t>(Gloor et al., 2017)</w:t>
      </w:r>
      <w:r>
        <w:fldChar w:fldCharType="end"/>
      </w:r>
      <w:r w:rsidR="00C13C4B">
        <w:t xml:space="preserve">, as </w:t>
      </w:r>
      <w:r>
        <w:t>this transformation cannot be performed until the zeros are adjusted</w:t>
      </w:r>
      <w:r w:rsidR="00C13C4B">
        <w:t xml:space="preserve">, due to the use of centered log-ratio transformations in the </w:t>
      </w:r>
      <w:r w:rsidR="00C3444A">
        <w:t>calculation</w:t>
      </w:r>
      <w:r>
        <w:t>.</w:t>
      </w:r>
    </w:p>
    <w:p w14:paraId="5F72AE24" w14:textId="4D8F816E" w:rsidR="005C5D5C" w:rsidRDefault="005C5D5C" w:rsidP="00D87226">
      <w:pPr>
        <w:spacing w:line="480" w:lineRule="auto"/>
      </w:pPr>
    </w:p>
    <w:p w14:paraId="15653773" w14:textId="058E2EBA" w:rsidR="005C5D5C" w:rsidRPr="005C5D5C" w:rsidRDefault="005C5D5C" w:rsidP="00D87226">
      <w:pPr>
        <w:spacing w:line="480" w:lineRule="auto"/>
        <w:rPr>
          <w:u w:val="single"/>
        </w:rPr>
      </w:pPr>
      <w:r w:rsidRPr="005C5D5C">
        <w:rPr>
          <w:u w:val="single"/>
        </w:rPr>
        <w:t xml:space="preserve">STEP </w:t>
      </w:r>
      <w:r w:rsidR="003F089C">
        <w:rPr>
          <w:u w:val="single"/>
        </w:rPr>
        <w:t>7</w:t>
      </w:r>
      <w:r w:rsidRPr="005C5D5C">
        <w:rPr>
          <w:u w:val="single"/>
        </w:rPr>
        <w:t xml:space="preserve">: CALCULATE DIVERSITY METRICS AND FUNCTIONAL GUILD </w:t>
      </w:r>
      <w:r w:rsidR="00FA0040">
        <w:rPr>
          <w:u w:val="single"/>
        </w:rPr>
        <w:t xml:space="preserve">PERCENT </w:t>
      </w:r>
      <w:r w:rsidR="00227687">
        <w:rPr>
          <w:u w:val="single"/>
        </w:rPr>
        <w:t xml:space="preserve">RELATIVE </w:t>
      </w:r>
      <w:r w:rsidRPr="005C5D5C">
        <w:rPr>
          <w:u w:val="single"/>
        </w:rPr>
        <w:t>ABUNDANCES</w:t>
      </w:r>
    </w:p>
    <w:p w14:paraId="5B7A57DF" w14:textId="058D8554" w:rsidR="00005AA7" w:rsidRDefault="00BC583E" w:rsidP="0078390C">
      <w:pPr>
        <w:spacing w:line="480" w:lineRule="auto"/>
      </w:pPr>
      <w:r>
        <w:t xml:space="preserve">Using rarefied data, </w:t>
      </w:r>
      <w:r w:rsidR="009E3F56" w:rsidRPr="00DA37A2">
        <w:t xml:space="preserve">Shannon’s alpha diversity for each </w:t>
      </w:r>
      <w:r w:rsidR="00C57430">
        <w:t>amplicon</w:t>
      </w:r>
      <w:r w:rsidR="009E3F56" w:rsidRPr="00DA37A2">
        <w:t xml:space="preserve"> community </w:t>
      </w:r>
      <w:r w:rsidR="00C57430">
        <w:t>is</w:t>
      </w:r>
      <w:r w:rsidR="009E3F56" w:rsidRPr="00DA37A2">
        <w:t xml:space="preserve"> computed</w:t>
      </w:r>
      <w:r w:rsidR="00D33BF6">
        <w:t xml:space="preserve"> </w:t>
      </w:r>
      <w:r w:rsidR="004D6509">
        <w:fldChar w:fldCharType="begin"/>
      </w:r>
      <w:r w:rsidR="004D6509">
        <w:instrText xml:space="preserve"> ADDIN ZOTERO_ITEM CSL_CITATION {"citationID":"PgsGCQXg","properties":{"formattedCitation":"(Weiss et al., 2017)","plainCitation":"(Weiss et al., 2017)","noteIndex":0},"citationItems":[{"id":6486,"uris":["http://zotero.org/users/9359754/items/QE4BJDGH"],"itemData":{"id":6486,"type":"article-journal","abstract":"Data from 16S ribosomal RNA (rRNA) amplicon sequencing present challenges to ecological and statistical interpretation. In particular, library sizes often vary over several ranges of magnitude, and the data contains many zeros. Although we are typically interested in comparing relative abundance of taxa in the ecosystem of two or more groups, we can only measure the taxon relative abundance in specimens obtained from the ecosystems. Because the comparison of taxon relative abundance in the specimen is not equivalent to the comparison of taxon relative abundance in the ecosystems, this presents a special challenge. Second, because the relative abundance of taxa in the specimen (as well as in the ecosystem) sum to 1, these are compositional data. Because the compositional data are constrained by the simplex (sum to 1) and are not unconstrained in the Euclidean space, many standard methods of analysis are not applicable. Here, we evaluate how these challenges impact the performance of existing normalization methods and differential abundance analyses.","container-title":"Microbiome","DOI":"10.1186/s40168-017-0237-y","ISSN":"2049-2618","issue":"1","journalAbbreviation":"Microbiome","page":"27","source":"BioMed Central","title":"Normalization and microbial differential abundance strategies depend upon data characteristics","volume":"5","author":[{"family":"Weiss","given":"Sophie"},{"family":"Xu","given":"Zhenjiang Zech"},{"family":"Peddada","given":"Shyamal"},{"family":"Amir","given":"Amnon"},{"family":"Bittinger","given":"Kyle"},{"family":"Gonzalez","given":"Antonio"},{"family":"Lozupone","given":"Catherine"},{"family":"Zaneveld","given":"Jesse R."},{"family":"Vázquez-Baeza","given":"Yoshiki"},{"family":"Birmingham","given":"Amanda"},{"family":"Hyde","given":"Embriette R."},{"family":"Knight","given":"Rob"}],"issued":{"date-parts":[["2017",3,3]]},"citation-key":"weiss2017"}}],"schema":"https://github.com/citation-style-language/schema/raw/master/csl-citation.json"} </w:instrText>
      </w:r>
      <w:r w:rsidR="004D6509">
        <w:fldChar w:fldCharType="separate"/>
      </w:r>
      <w:r w:rsidR="004D6509">
        <w:rPr>
          <w:noProof/>
        </w:rPr>
        <w:t>(Weiss et al., 2017)</w:t>
      </w:r>
      <w:r w:rsidR="004D6509">
        <w:fldChar w:fldCharType="end"/>
      </w:r>
      <w:r w:rsidR="009E3F56" w:rsidRPr="00DA37A2">
        <w:t xml:space="preserve"> using the vegan package in R </w:t>
      </w:r>
      <w:r w:rsidR="009E3F56">
        <w:fldChar w:fldCharType="begin"/>
      </w:r>
      <w:r w:rsidR="00A30B82">
        <w:instrText xml:space="preserve"> ADDIN ZOTERO_ITEM CSL_CITATION {"citationID":"1K2tKDKV","properties":{"formattedCitation":"(Oksanen et al., 2015)","plainCitation":"(Oksanen et al., 2015)","noteIndex":0},"citationItems":[{"id":1104,"uris":["http://zotero.org/users/9359754/items/AKRG5U76"],"itemData":{"id":1104,"type":"software","note":"container-title: CRAN","title":"Package 'vegan'","author":[{"family":"Oksanen","given":"Author Jari"},{"family":"Blanchet","given":"F Guillaume"},{"family":"Kindt","given":"Roeland"},{"family":"Legendre","given":"Pierre"},{"family":"Minchin","given":"Peter R"},{"family":"Hara","given":"R B O"},{"family":"Simpson","given":"Gavin L"},{"family":"Solymos","given":"Peter"},{"family":"Stevens","given":"M Henry H"},{"family":"Wagner","given":"Helene"}],"issued":{"date-parts":[["2015"]]},"citation-key":"oksanen2015"}}],"schema":"https://github.com/citation-style-language/schema/raw/master/csl-citation.json"} </w:instrText>
      </w:r>
      <w:r w:rsidR="009E3F56">
        <w:fldChar w:fldCharType="separate"/>
      </w:r>
      <w:r w:rsidR="00A30B82">
        <w:rPr>
          <w:rFonts w:cs="Times New Roman"/>
        </w:rPr>
        <w:t>(Oksanen et al., 2015)</w:t>
      </w:r>
      <w:r w:rsidR="009E3F56">
        <w:fldChar w:fldCharType="end"/>
      </w:r>
      <w:r w:rsidR="009E3F56" w:rsidRPr="00DA37A2">
        <w:t>.</w:t>
      </w:r>
      <w:r w:rsidR="00953697">
        <w:t xml:space="preserve"> </w:t>
      </w:r>
      <w:r w:rsidR="00FA0040">
        <w:t>Percent r</w:t>
      </w:r>
      <w:r w:rsidR="00574174">
        <w:t xml:space="preserve">elative abundances of functional guilds in each sample </w:t>
      </w:r>
      <w:r w:rsidR="00DB0A1E">
        <w:t xml:space="preserve">is </w:t>
      </w:r>
      <w:r w:rsidR="0040358B">
        <w:t xml:space="preserve">also </w:t>
      </w:r>
      <w:r w:rsidR="00574174">
        <w:t xml:space="preserve">calculated </w:t>
      </w:r>
      <w:r w:rsidR="00F93D9B">
        <w:t>using rarefied data</w:t>
      </w:r>
      <w:r w:rsidR="00FA0040">
        <w:t xml:space="preserve"> </w:t>
      </w:r>
      <w:r w:rsidR="00FA0040">
        <w:fldChar w:fldCharType="begin"/>
      </w:r>
      <w:r w:rsidR="00FA0040">
        <w:instrText xml:space="preserve"> ADDIN ZOTERO_ITEM CSL_CITATION {"citationID":"MqL6j3gY","properties":{"formattedCitation":"(Tatsumi et al., 2023)","plainCitation":"(Tatsumi et al., 2023)","noteIndex":0},"citationItems":[{"id":5976,"uris":["http://zotero.org/users/9359754/items/YN3MHBYD"],"itemData":{"id":5976,"type":"article-journal","abstract":"Temperate forests are threatened by urbanization and fragmentation, with over 20% (118,300 km\n              2\n              ) of U.S. forest land projected to be subsumed by urban land development. We leveraged a unique, well-characterized urban-to-rural and forest edge-to-interior gradient to identify the combined impact of these two land use changes—urbanization and forest edge creation—on the soil microbial community in native remnant forests. We found evidence of mutualism breakdown between trees and their fungal root mutualists [ectomycorrhizal (ECM) fungi] with urbanization, where ECM fungi colonized fewer tree roots and had less connectivity in soil microbiome networks in urban forests compared to rural forests. However, urbanization did not reduce the relative abundance of ECM fungi in forest soils; instead, forest edges alone led to strong reductions in ECM fungal abundance. At forest edges, ECM fungi were replaced by plant and animal pathogens, as well as copiotrophic, xenobiotic-degrading, and nitrogen-cycling bacteria, including nitrifiers and denitrifiers. Urbanization and forest edges interacted to generate new “suites” of microbes, with urban interior forests harboring highly homogenized microbiomes, while edge forest microbiomes were more heterogeneous and less stable, showing increased vulnerability to low soil moisture. When scaled to the regional level, we found that forest soils are projected to harbor high abundances of fungal pathogens and denitrifying bacteria, even in rural areas, due to the widespread existence of forest edges. Our results highlight the potential for soil microbiome dysfunction—including increased greenhouse gas production—in temperate forest regions that are subsumed by urban expansion, both now and in the future.","container-title":"Proceedings of the National Academy of Sciences","DOI":"10.1073/pnas.2307519120","ISSN":"0027-8424, 1091-6490","issue":"36","journalAbbreviation":"Proc. Natl. Acad. Sci. U.S.A.","language":"en","page":"e2307519120","source":"DOI.org (Crossref)","title":"Urbanization and edge effects interact to drive mutualism breakdown and the rise of unstable pathogenic communities in forest soil","volume":"120","author":[{"family":"Tatsumi","given":"Chikae"},{"family":"Atherton","given":"Kathryn F."},{"family":"Garvey","given":"Sarah M."},{"family":"Conrad-Rooney","given":"Emma"},{"family":"Morreale","given":"Luca L."},{"family":"Hutyra","given":"Lucy R."},{"family":"Templer","given":"Pamela H."},{"family":"Bhatnagar","given":"Jennifer M."}],"issued":{"date-parts":[["2023",9,5]]},"citation-key":"tatsumi2023"}}],"schema":"https://github.com/citation-style-language/schema/raw/master/csl-citation.json"} </w:instrText>
      </w:r>
      <w:r w:rsidR="00FA0040">
        <w:fldChar w:fldCharType="separate"/>
      </w:r>
      <w:r w:rsidR="00FA0040">
        <w:rPr>
          <w:noProof/>
        </w:rPr>
        <w:t>(Tatsumi et al., 2023)</w:t>
      </w:r>
      <w:r w:rsidR="00FA0040">
        <w:fldChar w:fldCharType="end"/>
      </w:r>
      <w:r w:rsidR="00F93D9B">
        <w:t>. F</w:t>
      </w:r>
      <w:r w:rsidR="0069417E">
        <w:t>irst</w:t>
      </w:r>
      <w:r w:rsidR="00F93D9B">
        <w:t>, rarefied ASV count data are</w:t>
      </w:r>
      <w:r w:rsidR="0069417E">
        <w:t xml:space="preserve"> convert</w:t>
      </w:r>
      <w:r w:rsidR="00F93D9B">
        <w:t xml:space="preserve">ed </w:t>
      </w:r>
      <w:r w:rsidR="0069417E">
        <w:t>to percent relative abundances</w:t>
      </w:r>
      <w:r w:rsidR="0012450B">
        <w:t xml:space="preserve"> by</w:t>
      </w:r>
      <w:r w:rsidR="0012450B" w:rsidRPr="0012450B">
        <w:t xml:space="preserve"> divid</w:t>
      </w:r>
      <w:r w:rsidR="0012450B">
        <w:t>ing</w:t>
      </w:r>
      <w:r w:rsidR="0012450B" w:rsidRPr="0012450B">
        <w:t xml:space="preserve"> each ASV count by the total reads per sample</w:t>
      </w:r>
      <w:r w:rsidR="00F93D9B">
        <w:t xml:space="preserve">. </w:t>
      </w:r>
      <w:r w:rsidR="007C0387">
        <w:t xml:space="preserve">This ratio transformation allows us to </w:t>
      </w:r>
      <w:r w:rsidR="007C0387" w:rsidRPr="007C0387">
        <w:t xml:space="preserve">fully convert </w:t>
      </w:r>
      <w:r w:rsidR="007C0387" w:rsidRPr="007C0387">
        <w:lastRenderedPageBreak/>
        <w:t>data to proportions, accounts for compositionality</w:t>
      </w:r>
      <w:r w:rsidR="007C0387">
        <w:t>, and makes comparisons of microbial group relative abundances between samples relatively straightforward</w:t>
      </w:r>
      <w:r w:rsidR="00FA0040">
        <w:t>, especially stud</w:t>
      </w:r>
      <w:r w:rsidR="00786EA7">
        <w:t>ies</w:t>
      </w:r>
      <w:r w:rsidR="00FA0040">
        <w:t xml:space="preserve"> where different sample types</w:t>
      </w:r>
      <w:r w:rsidR="00786EA7">
        <w:t xml:space="preserve"> </w:t>
      </w:r>
      <w:r w:rsidR="00FA0040">
        <w:t>are rarefied to different read counts, as was the case in Atherton et al. 2025</w:t>
      </w:r>
      <w:r w:rsidR="007C0387" w:rsidRPr="007C0387">
        <w:t>.</w:t>
      </w:r>
      <w:r w:rsidR="007C0387">
        <w:t xml:space="preserve"> </w:t>
      </w:r>
      <w:r w:rsidR="006C60C9">
        <w:t>To calculate the percent of the microbial community represented by a functional guild, t</w:t>
      </w:r>
      <w:r w:rsidR="00F93D9B">
        <w:t xml:space="preserve">he </w:t>
      </w:r>
      <w:r w:rsidR="000E4250">
        <w:t xml:space="preserve">ratio-transformed </w:t>
      </w:r>
      <w:r w:rsidR="00F93D9B">
        <w:t>rarefied counts are</w:t>
      </w:r>
      <w:r w:rsidR="0069417E">
        <w:t xml:space="preserve"> </w:t>
      </w:r>
      <w:r w:rsidR="000E4250">
        <w:t xml:space="preserve">then </w:t>
      </w:r>
      <w:r w:rsidR="00F93D9B">
        <w:t xml:space="preserve">summed for ASVs </w:t>
      </w:r>
      <w:r w:rsidR="0069417E">
        <w:t xml:space="preserve">assigned to each functional guild. </w:t>
      </w:r>
    </w:p>
    <w:p w14:paraId="2D8A4C35" w14:textId="77777777" w:rsidR="0008087A" w:rsidRDefault="0008087A" w:rsidP="00D87226">
      <w:pPr>
        <w:spacing w:line="480" w:lineRule="auto"/>
      </w:pPr>
    </w:p>
    <w:p w14:paraId="2A137CF9" w14:textId="6CE34071" w:rsidR="00D73F59" w:rsidRPr="0008087A" w:rsidRDefault="0008087A" w:rsidP="00D87226">
      <w:pPr>
        <w:spacing w:line="480" w:lineRule="auto"/>
        <w:rPr>
          <w:u w:val="single"/>
        </w:rPr>
      </w:pPr>
      <w:r>
        <w:rPr>
          <w:u w:val="single"/>
        </w:rPr>
        <w:t>REFERENCES</w:t>
      </w:r>
    </w:p>
    <w:p w14:paraId="64C7A299" w14:textId="77777777" w:rsidR="003079B9" w:rsidRPr="003079B9" w:rsidRDefault="00220D09" w:rsidP="003079B9">
      <w:pPr>
        <w:pStyle w:val="Bibliography"/>
      </w:pPr>
      <w:r>
        <w:rPr>
          <w:i/>
          <w:iCs/>
        </w:rPr>
        <w:t xml:space="preserve"> </w:t>
      </w:r>
      <w:r w:rsidR="00403D5C">
        <w:rPr>
          <w:i/>
          <w:iCs/>
        </w:rPr>
        <w:fldChar w:fldCharType="begin"/>
      </w:r>
      <w:r w:rsidR="00403D5C">
        <w:rPr>
          <w:i/>
          <w:iCs/>
        </w:rPr>
        <w:instrText xml:space="preserve"> ADDIN ZOTERO_BIBL {"uncited":[],"omitted":[],"custom":[]} CSL_BIBLIOGRAPHY </w:instrText>
      </w:r>
      <w:r w:rsidR="00403D5C">
        <w:rPr>
          <w:i/>
          <w:iCs/>
        </w:rPr>
        <w:fldChar w:fldCharType="separate"/>
      </w:r>
      <w:r w:rsidR="003079B9" w:rsidRPr="003079B9">
        <w:t xml:space="preserve">Anthony, M. A., Stinson, K. A., Moore, J. A. M., &amp; Frey, S. D. (2020). Plant invasion impacts on fungal community structure and function depend on soil warming and nitrogen enrichment. </w:t>
      </w:r>
      <w:r w:rsidR="003079B9" w:rsidRPr="003079B9">
        <w:rPr>
          <w:i/>
          <w:iCs/>
        </w:rPr>
        <w:t>Oecologia</w:t>
      </w:r>
      <w:r w:rsidR="003079B9" w:rsidRPr="003079B9">
        <w:t xml:space="preserve">, </w:t>
      </w:r>
      <w:r w:rsidR="003079B9" w:rsidRPr="003079B9">
        <w:rPr>
          <w:i/>
          <w:iCs/>
        </w:rPr>
        <w:t>194</w:t>
      </w:r>
      <w:r w:rsidR="003079B9" w:rsidRPr="003079B9">
        <w:t>(4), 659–672. https://doi.org/10.1007/s00442-020-04797-4</w:t>
      </w:r>
    </w:p>
    <w:p w14:paraId="59B5BE6B" w14:textId="77777777" w:rsidR="003079B9" w:rsidRPr="003079B9" w:rsidRDefault="003079B9" w:rsidP="003079B9">
      <w:pPr>
        <w:pStyle w:val="Bibliography"/>
      </w:pPr>
      <w:r w:rsidRPr="003079B9">
        <w:t xml:space="preserve">Auguie, B., &amp; Antonov, A. (2017). </w:t>
      </w:r>
      <w:r w:rsidRPr="003079B9">
        <w:rPr>
          <w:i/>
          <w:iCs/>
        </w:rPr>
        <w:t>gridExtra: Miscellaneous Functions for “Grid” Graphics</w:t>
      </w:r>
      <w:r w:rsidRPr="003079B9">
        <w:t xml:space="preserve"> (Version 2.3) [Computer software]. https://cran.r-project.org/web/packages/gridExtra/index.html</w:t>
      </w:r>
    </w:p>
    <w:p w14:paraId="2C56EBDC" w14:textId="77777777" w:rsidR="003079B9" w:rsidRPr="003079B9" w:rsidRDefault="003079B9" w:rsidP="003079B9">
      <w:pPr>
        <w:pStyle w:val="Bibliography"/>
      </w:pPr>
      <w:r w:rsidRPr="003079B9">
        <w:t xml:space="preserve">Bolyen, E., Rideout, J. R., Dillon, M. R., Bokulich, N. A., Abnet, C. C., Al-Ghalith, G. A., Alexander, H., Alm, E. J., Arumugam, M., Asnicar, F., Bai, Y., Bisanz, J. E., Bittinger, K., Brejnrod, A., Brislawn, C. J., Brown, C. T., Callahan, B. J., Caraballo-Rodríguez, A. M., Chase, J., … Caporaso, J. G. (2019). Reproducible, interactive, scalable and extensible microbiome data science using QIIME 2. </w:t>
      </w:r>
      <w:r w:rsidRPr="003079B9">
        <w:rPr>
          <w:i/>
          <w:iCs/>
        </w:rPr>
        <w:t>Nature Biotechnology</w:t>
      </w:r>
      <w:r w:rsidRPr="003079B9">
        <w:t xml:space="preserve">, </w:t>
      </w:r>
      <w:r w:rsidRPr="003079B9">
        <w:rPr>
          <w:i/>
          <w:iCs/>
        </w:rPr>
        <w:t>37</w:t>
      </w:r>
      <w:r w:rsidRPr="003079B9">
        <w:t>(8), 852–857. https://doi.org/10.1038/s41587-019-0209-9</w:t>
      </w:r>
    </w:p>
    <w:p w14:paraId="1DA31A5C" w14:textId="77777777" w:rsidR="003079B9" w:rsidRPr="003079B9" w:rsidRDefault="003079B9" w:rsidP="003079B9">
      <w:pPr>
        <w:pStyle w:val="Bibliography"/>
      </w:pPr>
      <w:r w:rsidRPr="003079B9">
        <w:t xml:space="preserve">Boogaart, K. G. van den, Tolosana-Delgado, R., &amp; Bren, M. (2024). </w:t>
      </w:r>
      <w:r w:rsidRPr="003079B9">
        <w:rPr>
          <w:i/>
          <w:iCs/>
        </w:rPr>
        <w:t>compositions: Compositional Data Analysis</w:t>
      </w:r>
      <w:r w:rsidRPr="003079B9">
        <w:t xml:space="preserve"> (Version 2.0-8) [Computer software]. https://cran.r-project.org/web/packages/compositions/index.html</w:t>
      </w:r>
    </w:p>
    <w:p w14:paraId="1537012F" w14:textId="77777777" w:rsidR="003079B9" w:rsidRPr="003079B9" w:rsidRDefault="003079B9" w:rsidP="003079B9">
      <w:pPr>
        <w:pStyle w:val="Bibliography"/>
      </w:pPr>
      <w:r w:rsidRPr="003079B9">
        <w:lastRenderedPageBreak/>
        <w:t xml:space="preserve">Callahan, B. J., McMurdie, P. J., Rosen, M. J., Han, A. W., Johnson, A. J. A., &amp; Holmes, S. P. (2016). DADA2: High-resolution sample inference from Illumina amplicon data. </w:t>
      </w:r>
      <w:r w:rsidRPr="003079B9">
        <w:rPr>
          <w:i/>
          <w:iCs/>
        </w:rPr>
        <w:t>Nature Methods</w:t>
      </w:r>
      <w:r w:rsidRPr="003079B9">
        <w:t xml:space="preserve">, </w:t>
      </w:r>
      <w:r w:rsidRPr="003079B9">
        <w:rPr>
          <w:i/>
          <w:iCs/>
        </w:rPr>
        <w:t>13</w:t>
      </w:r>
      <w:r w:rsidRPr="003079B9">
        <w:t>(7), 581–583. https://doi.org/10.1038/nmeth.3869</w:t>
      </w:r>
    </w:p>
    <w:p w14:paraId="7A351FAB" w14:textId="77777777" w:rsidR="003079B9" w:rsidRPr="003079B9" w:rsidRDefault="003079B9" w:rsidP="003079B9">
      <w:pPr>
        <w:pStyle w:val="Bibliography"/>
      </w:pPr>
      <w:r w:rsidRPr="003079B9">
        <w:t xml:space="preserve">Caporaso, J. G., Ackermann, G., Apprill, A., Bauer, M., Berg-Lyons, D., Betley, J., Fierer, N., Fraser, L., Fuhrman, J. A., Gilbert, J. A., Gormley, N., Humphrey, G., Huntley, J., Jansson, J. K., Knight, R., Lauber, C. L., Lozupone, C. A., McNally, S., Needham, D. M., … Weber, L. (2023). </w:t>
      </w:r>
      <w:r w:rsidRPr="003079B9">
        <w:rPr>
          <w:i/>
          <w:iCs/>
        </w:rPr>
        <w:t>EMP 16S Illumina Amplicon Protocol</w:t>
      </w:r>
      <w:r w:rsidRPr="003079B9">
        <w:t>. https://www.protocols.io/view/emp-16s-illumina-amplicon-protocol-cpisvkee</w:t>
      </w:r>
    </w:p>
    <w:p w14:paraId="630CDAC8" w14:textId="77777777" w:rsidR="003079B9" w:rsidRPr="003079B9" w:rsidRDefault="003079B9" w:rsidP="003079B9">
      <w:pPr>
        <w:pStyle w:val="Bibliography"/>
      </w:pPr>
      <w:r w:rsidRPr="003079B9">
        <w:t xml:space="preserve">Caporaso, J. G., Lauber, C. L., Walters, W. A., Berg-Lyons, D., Lozupone, C. A., Turnbaugh, P. J., Fierer, N. G., &amp; Knight, R. (2011). Global patterns of 16S rRNA diversity at a depth of millions of sequences per sample. </w:t>
      </w:r>
      <w:r w:rsidRPr="003079B9">
        <w:rPr>
          <w:i/>
          <w:iCs/>
        </w:rPr>
        <w:t>Proceedings of the National Academy of Sciences of the United States of America</w:t>
      </w:r>
      <w:r w:rsidRPr="003079B9">
        <w:t xml:space="preserve">, </w:t>
      </w:r>
      <w:r w:rsidRPr="003079B9">
        <w:rPr>
          <w:i/>
          <w:iCs/>
        </w:rPr>
        <w:t>108</w:t>
      </w:r>
      <w:r w:rsidRPr="003079B9">
        <w:t>(SUPPL. 1), 4516–4522. https://doi.org/10.1073/pnas.1000080107</w:t>
      </w:r>
    </w:p>
    <w:p w14:paraId="7F3207A4" w14:textId="77777777" w:rsidR="003079B9" w:rsidRPr="003079B9" w:rsidRDefault="003079B9" w:rsidP="003079B9">
      <w:pPr>
        <w:pStyle w:val="Bibliography"/>
      </w:pPr>
      <w:r w:rsidRPr="003079B9">
        <w:t xml:space="preserve">Davis, N. M., Proctor, D. M., Holmes, S. P., Relman, D. A., &amp; Callahan, B. J. (2018). Simple statistical identification and removal of contaminant sequences in marker-gene and metagenomics data. </w:t>
      </w:r>
      <w:r w:rsidRPr="003079B9">
        <w:rPr>
          <w:i/>
          <w:iCs/>
        </w:rPr>
        <w:t>Microbiome</w:t>
      </w:r>
      <w:r w:rsidRPr="003079B9">
        <w:t xml:space="preserve">, </w:t>
      </w:r>
      <w:r w:rsidRPr="003079B9">
        <w:rPr>
          <w:i/>
          <w:iCs/>
        </w:rPr>
        <w:t>6</w:t>
      </w:r>
      <w:r w:rsidRPr="003079B9">
        <w:t>(1), 226. https://doi.org/10.1186/s40168-018-0605-2</w:t>
      </w:r>
    </w:p>
    <w:p w14:paraId="3D5C0861" w14:textId="77777777" w:rsidR="003079B9" w:rsidRPr="003079B9" w:rsidRDefault="003079B9" w:rsidP="003079B9">
      <w:pPr>
        <w:pStyle w:val="Bibliography"/>
      </w:pPr>
      <w:r w:rsidRPr="003079B9">
        <w:t xml:space="preserve">Davis, T. L., package.), A. D. (Some documentation and examples ported from the getopt, module.), P. S. F. (Some documentation from the optparse P., Lianoglou, S., Nikelski, J., Müller, K., Humburg, P., FitzJohn, R., &amp; Choi, G. J. (2024). </w:t>
      </w:r>
      <w:r w:rsidRPr="003079B9">
        <w:rPr>
          <w:i/>
          <w:iCs/>
        </w:rPr>
        <w:t>optparse: Command Line Option Parser</w:t>
      </w:r>
      <w:r w:rsidRPr="003079B9">
        <w:t xml:space="preserve"> (Version 1.7.5) [Computer software]. https://cran.r-project.org/web/packages/optparse/index.html</w:t>
      </w:r>
    </w:p>
    <w:p w14:paraId="0EBA3700" w14:textId="77777777" w:rsidR="003079B9" w:rsidRPr="003079B9" w:rsidRDefault="003079B9" w:rsidP="003079B9">
      <w:pPr>
        <w:pStyle w:val="Bibliography"/>
      </w:pPr>
      <w:r w:rsidRPr="003079B9">
        <w:lastRenderedPageBreak/>
        <w:t xml:space="preserve">Delgado-Baquerizo, M., Oliverio, A. M., Brewer, T. E., Benavent-gonzález, A., Eldridge, D. J., Bardgett, R. D., Maestre, F. T., Singh, B. K., &amp; Fierer, N. G. (2018). A global atlas of the dominant bacteria found in soil. </w:t>
      </w:r>
      <w:r w:rsidRPr="003079B9">
        <w:rPr>
          <w:i/>
          <w:iCs/>
        </w:rPr>
        <w:t>Science</w:t>
      </w:r>
      <w:r w:rsidRPr="003079B9">
        <w:t xml:space="preserve">, </w:t>
      </w:r>
      <w:r w:rsidRPr="003079B9">
        <w:rPr>
          <w:i/>
          <w:iCs/>
        </w:rPr>
        <w:t>325</w:t>
      </w:r>
      <w:r w:rsidRPr="003079B9">
        <w:t>(February), 320–325.</w:t>
      </w:r>
    </w:p>
    <w:p w14:paraId="18DCB299" w14:textId="77777777" w:rsidR="003079B9" w:rsidRPr="003079B9" w:rsidRDefault="003079B9" w:rsidP="003079B9">
      <w:pPr>
        <w:pStyle w:val="Bibliography"/>
      </w:pPr>
      <w:r w:rsidRPr="003079B9">
        <w:t xml:space="preserve">Fadrosh, D. W., Ma, B., Gajer, P., Sengamalay, N., Ott, S., Brotman, R. M., &amp; Ravel, J. (2014). An improved dual-indexing approach for multiplexed 16S rRNA gene sequencing on the Illumina MiSeq platform. </w:t>
      </w:r>
      <w:r w:rsidRPr="003079B9">
        <w:rPr>
          <w:i/>
          <w:iCs/>
        </w:rPr>
        <w:t>Microbiome</w:t>
      </w:r>
      <w:r w:rsidRPr="003079B9">
        <w:t xml:space="preserve">, </w:t>
      </w:r>
      <w:r w:rsidRPr="003079B9">
        <w:rPr>
          <w:i/>
          <w:iCs/>
        </w:rPr>
        <w:t>2</w:t>
      </w:r>
      <w:r w:rsidRPr="003079B9">
        <w:t>(1), 6. https://doi.org/10.1186/2049-2618-2-6</w:t>
      </w:r>
    </w:p>
    <w:p w14:paraId="65BC68E1" w14:textId="77777777" w:rsidR="003079B9" w:rsidRPr="003079B9" w:rsidRDefault="003079B9" w:rsidP="003079B9">
      <w:pPr>
        <w:pStyle w:val="Bibliography"/>
      </w:pPr>
      <w:r w:rsidRPr="003079B9">
        <w:t xml:space="preserve">Gloor, G. B., Macklaim, J. M., Pawlowsky-Glahn, V., &amp; Egozcue, J. J. (2017). Microbiome Datasets Are Compositional: And This Is Not Optional. </w:t>
      </w:r>
      <w:r w:rsidRPr="003079B9">
        <w:rPr>
          <w:i/>
          <w:iCs/>
        </w:rPr>
        <w:t>Frontiers in Microbiology</w:t>
      </w:r>
      <w:r w:rsidRPr="003079B9">
        <w:t xml:space="preserve">, </w:t>
      </w:r>
      <w:r w:rsidRPr="003079B9">
        <w:rPr>
          <w:i/>
          <w:iCs/>
        </w:rPr>
        <w:t>8</w:t>
      </w:r>
      <w:r w:rsidRPr="003079B9">
        <w:t>. https://www.frontiersin.org/articles/10.3389/fmicb.2017.02224</w:t>
      </w:r>
    </w:p>
    <w:p w14:paraId="08105CA7" w14:textId="77777777" w:rsidR="003079B9" w:rsidRPr="003079B9" w:rsidRDefault="003079B9" w:rsidP="003079B9">
      <w:pPr>
        <w:pStyle w:val="Bibliography"/>
      </w:pPr>
      <w:r w:rsidRPr="003079B9">
        <w:t xml:space="preserve">Greenacre, M., Martínez-Álvaro, M., &amp; Blasco, A. (2021). Compositional Data Analysis of Microbiome and Any-Omics Datasets: A Validation of the Additive Logratio Transformation. </w:t>
      </w:r>
      <w:r w:rsidRPr="003079B9">
        <w:rPr>
          <w:i/>
          <w:iCs/>
        </w:rPr>
        <w:t>Frontiers in Microbiology</w:t>
      </w:r>
      <w:r w:rsidRPr="003079B9">
        <w:t xml:space="preserve">, </w:t>
      </w:r>
      <w:r w:rsidRPr="003079B9">
        <w:rPr>
          <w:i/>
          <w:iCs/>
        </w:rPr>
        <w:t>12</w:t>
      </w:r>
      <w:r w:rsidRPr="003079B9">
        <w:t>. https://doi.org/10.3389/fmicb.2021.727398</w:t>
      </w:r>
    </w:p>
    <w:p w14:paraId="76BF2F22" w14:textId="77777777" w:rsidR="003079B9" w:rsidRPr="003079B9" w:rsidRDefault="003079B9" w:rsidP="003079B9">
      <w:pPr>
        <w:pStyle w:val="Bibliography"/>
      </w:pPr>
      <w:r w:rsidRPr="003079B9">
        <w:t xml:space="preserve">Hester, J., Wickham, H., Bryan, J., Bearrows, S., library),  https://github com/mandreyel/ (mio, implementation), J. J. (grisu3, implementation), M. J. (grisu3, Software, P., &amp; PBC. (2023). </w:t>
      </w:r>
      <w:r w:rsidRPr="003079B9">
        <w:rPr>
          <w:i/>
          <w:iCs/>
        </w:rPr>
        <w:t>vroom: Read and Write Rectangular Text Data Quickly</w:t>
      </w:r>
      <w:r w:rsidRPr="003079B9">
        <w:t xml:space="preserve"> (Version 1.6.5) [Computer software]. https://cran.r-project.org/web/packages/vroom/index.html</w:t>
      </w:r>
    </w:p>
    <w:p w14:paraId="1F801B99" w14:textId="77777777" w:rsidR="003079B9" w:rsidRPr="003079B9" w:rsidRDefault="003079B9" w:rsidP="003079B9">
      <w:pPr>
        <w:pStyle w:val="Bibliography"/>
      </w:pPr>
      <w:r w:rsidRPr="003079B9">
        <w:t xml:space="preserve">Jia, Y., Zhao, S., Guo, W., Peng, L., Zhao, F., Wang, L., Fan, G., Zhu, Y., Xu, D., Liu, G., Wang, R., Fang, X., Zhang, H., Kristiansen, K., Zhang, W., &amp; Chen, J. (2022). Sequencing introduced false positive rare taxa lead to biased microbial community diversity, assembly, and interaction interpretation in amplicon studies. </w:t>
      </w:r>
      <w:r w:rsidRPr="003079B9">
        <w:rPr>
          <w:i/>
          <w:iCs/>
        </w:rPr>
        <w:t>Environmental Microbiome</w:t>
      </w:r>
      <w:r w:rsidRPr="003079B9">
        <w:t xml:space="preserve">, </w:t>
      </w:r>
      <w:r w:rsidRPr="003079B9">
        <w:rPr>
          <w:i/>
          <w:iCs/>
        </w:rPr>
        <w:t>17</w:t>
      </w:r>
      <w:r w:rsidRPr="003079B9">
        <w:t>(1), 43. https://doi.org/10.1186/s40793-022-00436-y</w:t>
      </w:r>
    </w:p>
    <w:p w14:paraId="10AF73F5" w14:textId="77777777" w:rsidR="003079B9" w:rsidRPr="003079B9" w:rsidRDefault="003079B9" w:rsidP="003079B9">
      <w:pPr>
        <w:pStyle w:val="Bibliography"/>
      </w:pPr>
      <w:r w:rsidRPr="003079B9">
        <w:lastRenderedPageBreak/>
        <w:t xml:space="preserve">Leek, J. T., Johnson, W. E., Parker, H. S., Fertig, E. J., Jaffe, A. E., Zhang, Y., Storey, J. D., &amp; Torres. (2025). </w:t>
      </w:r>
      <w:r w:rsidRPr="003079B9">
        <w:rPr>
          <w:i/>
          <w:iCs/>
        </w:rPr>
        <w:t>sva: Surrogate Variable Analysis</w:t>
      </w:r>
      <w:r w:rsidRPr="003079B9">
        <w:t xml:space="preserve"> (Version 3.48.0) [Computer software]. http://bioconductor.org/packages/sva/</w:t>
      </w:r>
    </w:p>
    <w:p w14:paraId="36003A66" w14:textId="77777777" w:rsidR="003079B9" w:rsidRPr="003079B9" w:rsidRDefault="003079B9" w:rsidP="003079B9">
      <w:pPr>
        <w:pStyle w:val="Bibliography"/>
      </w:pPr>
      <w:r w:rsidRPr="003079B9">
        <w:t xml:space="preserve">Lin, H., &amp; Peddada, S. D. (2024). Multigroup analysis of compositions of microbiomes with covariate adjustments and repeated measures. </w:t>
      </w:r>
      <w:r w:rsidRPr="003079B9">
        <w:rPr>
          <w:i/>
          <w:iCs/>
        </w:rPr>
        <w:t>Nature Methods</w:t>
      </w:r>
      <w:r w:rsidRPr="003079B9">
        <w:t xml:space="preserve">, </w:t>
      </w:r>
      <w:r w:rsidRPr="003079B9">
        <w:rPr>
          <w:i/>
          <w:iCs/>
        </w:rPr>
        <w:t>21</w:t>
      </w:r>
      <w:r w:rsidRPr="003079B9">
        <w:t>(1), 83–91. https://doi.org/10.1038/s41592-023-02092-7</w:t>
      </w:r>
    </w:p>
    <w:p w14:paraId="41CD1DF7" w14:textId="77777777" w:rsidR="003079B9" w:rsidRPr="003079B9" w:rsidRDefault="003079B9" w:rsidP="003079B9">
      <w:pPr>
        <w:pStyle w:val="Bibliography"/>
      </w:pPr>
      <w:r w:rsidRPr="003079B9">
        <w:t xml:space="preserve">Liu, Z., Lozupone, C., Hamady, M., Bushman, F. D., &amp; Knight, R. (2007). Short pyrosequencing reads suffice for accurate microbial community analysis. </w:t>
      </w:r>
      <w:r w:rsidRPr="003079B9">
        <w:rPr>
          <w:i/>
          <w:iCs/>
        </w:rPr>
        <w:t>Nucleic Acids Research</w:t>
      </w:r>
      <w:r w:rsidRPr="003079B9">
        <w:t xml:space="preserve">, </w:t>
      </w:r>
      <w:r w:rsidRPr="003079B9">
        <w:rPr>
          <w:i/>
          <w:iCs/>
        </w:rPr>
        <w:t>35</w:t>
      </w:r>
      <w:r w:rsidRPr="003079B9">
        <w:t>(18), e120. https://doi.org/10.1093/nar/gkm541</w:t>
      </w:r>
    </w:p>
    <w:p w14:paraId="75036E6F" w14:textId="77777777" w:rsidR="003079B9" w:rsidRPr="003079B9" w:rsidRDefault="003079B9" w:rsidP="003079B9">
      <w:pPr>
        <w:pStyle w:val="Bibliography"/>
      </w:pPr>
      <w:r w:rsidRPr="003079B9">
        <w:t xml:space="preserve">Lloréns-Rico, V., Vieira-Silva, S., Gonçalves, P. J., Falony, G., &amp; Raes, J. (2021). Benchmarking microbiome transformations favors experimental quantitative approaches to address compositionality and sampling depth biases. </w:t>
      </w:r>
      <w:r w:rsidRPr="003079B9">
        <w:rPr>
          <w:i/>
          <w:iCs/>
        </w:rPr>
        <w:t>Nature Communications</w:t>
      </w:r>
      <w:r w:rsidRPr="003079B9">
        <w:t xml:space="preserve">, </w:t>
      </w:r>
      <w:r w:rsidRPr="003079B9">
        <w:rPr>
          <w:i/>
          <w:iCs/>
        </w:rPr>
        <w:t>12</w:t>
      </w:r>
      <w:r w:rsidRPr="003079B9">
        <w:t>(1), 3562. https://doi.org/10.1038/s41467-021-23821-6</w:t>
      </w:r>
    </w:p>
    <w:p w14:paraId="1FB09322" w14:textId="77777777" w:rsidR="003079B9" w:rsidRPr="003079B9" w:rsidRDefault="003079B9" w:rsidP="003079B9">
      <w:pPr>
        <w:pStyle w:val="Bibliography"/>
      </w:pPr>
      <w:r w:rsidRPr="003079B9">
        <w:t xml:space="preserve">Martin, M. (2011). Cutadapt removes adapter sequences from high-throughput sequencing reads. </w:t>
      </w:r>
      <w:r w:rsidRPr="003079B9">
        <w:rPr>
          <w:i/>
          <w:iCs/>
        </w:rPr>
        <w:t>EMBnet.Journal</w:t>
      </w:r>
      <w:r w:rsidRPr="003079B9">
        <w:t xml:space="preserve">, </w:t>
      </w:r>
      <w:r w:rsidRPr="003079B9">
        <w:rPr>
          <w:i/>
          <w:iCs/>
        </w:rPr>
        <w:t>17</w:t>
      </w:r>
      <w:r w:rsidRPr="003079B9">
        <w:t>(1), Article 1. https://doi.org/10.14806/ej.17.1.200</w:t>
      </w:r>
    </w:p>
    <w:p w14:paraId="54094E1A" w14:textId="77777777" w:rsidR="003079B9" w:rsidRPr="003079B9" w:rsidRDefault="003079B9" w:rsidP="003079B9">
      <w:pPr>
        <w:pStyle w:val="Bibliography"/>
      </w:pPr>
      <w:r w:rsidRPr="003079B9">
        <w:t xml:space="preserve">Martiny, J. B. H., Eisen, J. A., Penn, K., Allison, S. D., &amp; Horner-Devine, M. C. (2011). Drivers of bacterial β-diversity depend on spatial scale. </w:t>
      </w:r>
      <w:r w:rsidRPr="003079B9">
        <w:rPr>
          <w:i/>
          <w:iCs/>
        </w:rPr>
        <w:t>Proceedings of the National Academy of Sciences</w:t>
      </w:r>
      <w:r w:rsidRPr="003079B9">
        <w:t xml:space="preserve">, </w:t>
      </w:r>
      <w:r w:rsidRPr="003079B9">
        <w:rPr>
          <w:i/>
          <w:iCs/>
        </w:rPr>
        <w:t>108</w:t>
      </w:r>
      <w:r w:rsidRPr="003079B9">
        <w:t>(19), 7850–7854. https://doi.org/10.1073/pnas.1016308108</w:t>
      </w:r>
    </w:p>
    <w:p w14:paraId="0406119E" w14:textId="77777777" w:rsidR="003079B9" w:rsidRPr="003079B9" w:rsidRDefault="003079B9" w:rsidP="003079B9">
      <w:pPr>
        <w:pStyle w:val="Bibliography"/>
      </w:pPr>
      <w:r w:rsidRPr="003079B9">
        <w:t xml:space="preserve">McMurdie, P. J., &amp; Holmes, S. (2013). phyloseq: An R Package for Reproducible Interactive Analysis and Graphics of Microbiome Census Data. </w:t>
      </w:r>
      <w:r w:rsidRPr="003079B9">
        <w:rPr>
          <w:i/>
          <w:iCs/>
        </w:rPr>
        <w:t>PLOS ONE</w:t>
      </w:r>
      <w:r w:rsidRPr="003079B9">
        <w:t xml:space="preserve">, </w:t>
      </w:r>
      <w:r w:rsidRPr="003079B9">
        <w:rPr>
          <w:i/>
          <w:iCs/>
        </w:rPr>
        <w:t>8</w:t>
      </w:r>
      <w:r w:rsidRPr="003079B9">
        <w:t>(4), e61217. https://doi.org/10.1371/journal.pone.0061217</w:t>
      </w:r>
    </w:p>
    <w:p w14:paraId="77DE8986" w14:textId="77777777" w:rsidR="003079B9" w:rsidRPr="003079B9" w:rsidRDefault="003079B9" w:rsidP="003079B9">
      <w:pPr>
        <w:pStyle w:val="Bibliography"/>
      </w:pPr>
      <w:r w:rsidRPr="003079B9">
        <w:lastRenderedPageBreak/>
        <w:t xml:space="preserve">McMurdie, P. J., &amp; Holmes, S. (2014). Waste Not, Want Not: Why Rarefying Microbiome Data Is Inadmissible. </w:t>
      </w:r>
      <w:r w:rsidRPr="003079B9">
        <w:rPr>
          <w:i/>
          <w:iCs/>
        </w:rPr>
        <w:t>PLOS Computational Biology</w:t>
      </w:r>
      <w:r w:rsidRPr="003079B9">
        <w:t xml:space="preserve">, </w:t>
      </w:r>
      <w:r w:rsidRPr="003079B9">
        <w:rPr>
          <w:i/>
          <w:iCs/>
        </w:rPr>
        <w:t>10</w:t>
      </w:r>
      <w:r w:rsidRPr="003079B9">
        <w:t>(4), e1003531. https://doi.org/10.1371/journal.pcbi.1003531</w:t>
      </w:r>
    </w:p>
    <w:p w14:paraId="2F4EE38D" w14:textId="77777777" w:rsidR="003079B9" w:rsidRPr="003079B9" w:rsidRDefault="003079B9" w:rsidP="003079B9">
      <w:pPr>
        <w:pStyle w:val="Bibliography"/>
      </w:pPr>
      <w:r w:rsidRPr="003079B9">
        <w:t xml:space="preserve">Nilsson, R. H., Larsson, K.-H., Taylor, A. F. S., Bengtsson-Palme, J., Jeppesen, T. S., Schigel, D., Kennedy, P. G., Picard, K., Glöckner, F. O., Tedersoo, L., Saar, I., Kõljalg, U., &amp; Abarenkov, K. (2019). The UNITE database for molecular identification of fungi: Handling dark taxa and parallel taxonomic classifications. </w:t>
      </w:r>
      <w:r w:rsidRPr="003079B9">
        <w:rPr>
          <w:i/>
          <w:iCs/>
        </w:rPr>
        <w:t>Nucleic Acids Research</w:t>
      </w:r>
      <w:r w:rsidRPr="003079B9">
        <w:t xml:space="preserve">, </w:t>
      </w:r>
      <w:r w:rsidRPr="003079B9">
        <w:rPr>
          <w:i/>
          <w:iCs/>
        </w:rPr>
        <w:t>47</w:t>
      </w:r>
      <w:r w:rsidRPr="003079B9">
        <w:t>(D1), D259–D264. https://doi.org/10.1093/nar/gky1022</w:t>
      </w:r>
    </w:p>
    <w:p w14:paraId="007C5418" w14:textId="77777777" w:rsidR="003079B9" w:rsidRPr="003079B9" w:rsidRDefault="003079B9" w:rsidP="003079B9">
      <w:pPr>
        <w:pStyle w:val="Bibliography"/>
      </w:pPr>
      <w:r w:rsidRPr="003079B9">
        <w:t xml:space="preserve">Oksanen, A. J., Blanchet, F. G., Kindt, R., Legendre, P., Minchin, P. R., Hara, R. B. O., Simpson, G. L., Solymos, P., Stevens, M. H. H., &amp; Wagner, H. (2015). Package “vegan.” In </w:t>
      </w:r>
      <w:r w:rsidRPr="003079B9">
        <w:rPr>
          <w:i/>
          <w:iCs/>
        </w:rPr>
        <w:t>CRAN</w:t>
      </w:r>
      <w:r w:rsidRPr="003079B9">
        <w:t xml:space="preserve"> [Computer software].</w:t>
      </w:r>
    </w:p>
    <w:p w14:paraId="3CB2D537" w14:textId="77777777" w:rsidR="003079B9" w:rsidRPr="003079B9" w:rsidRDefault="003079B9" w:rsidP="003079B9">
      <w:pPr>
        <w:pStyle w:val="Bibliography"/>
      </w:pPr>
      <w:r w:rsidRPr="003079B9">
        <w:t xml:space="preserve">Põlme, S., Abarenkov, K., Henrik Nilsson, R., Lindahl, B. D., Clemmensen, K. E., Kauserud, H., Nguyen, N., Kjøller, R., Bates, S. T., Baldrian, P., Frøslev, T. G., Adojaan, K., Vizzini, A., Suija, A., Pfister, D., Baral, H.-O., Järv, H., Madrid, H., Nordén, J., … Tedersoo, L. (2020). FungalTraits: A user-friendly traits database of fungi and fungus-like stramenopiles. </w:t>
      </w:r>
      <w:r w:rsidRPr="003079B9">
        <w:rPr>
          <w:i/>
          <w:iCs/>
        </w:rPr>
        <w:t>Fungal Diversity</w:t>
      </w:r>
      <w:r w:rsidRPr="003079B9">
        <w:t xml:space="preserve">, </w:t>
      </w:r>
      <w:r w:rsidRPr="003079B9">
        <w:rPr>
          <w:i/>
          <w:iCs/>
        </w:rPr>
        <w:t>105</w:t>
      </w:r>
      <w:r w:rsidRPr="003079B9">
        <w:t>(1), 1–16. https://doi.org/10.1007/s13225-020-00466-2</w:t>
      </w:r>
    </w:p>
    <w:p w14:paraId="33AA772C" w14:textId="77777777" w:rsidR="003079B9" w:rsidRPr="003079B9" w:rsidRDefault="003079B9" w:rsidP="003079B9">
      <w:pPr>
        <w:pStyle w:val="Bibliography"/>
      </w:pPr>
      <w:r w:rsidRPr="003079B9">
        <w:t xml:space="preserve">Qin, C., Bartelme, R., Chung, Y. A., Fairbanks, D., Lin, Y., Liptzin, D., Muscarella, C., Naithani, K., Peay, K., Pellitier, P., St. Rose, A., Stanish, L., Werbin, Z., &amp; Zhu, K. (2021). From DNA sequences to microbial ecology: Wrangling NEON soil microbe data with the neonMicrobe R package. </w:t>
      </w:r>
      <w:r w:rsidRPr="003079B9">
        <w:rPr>
          <w:i/>
          <w:iCs/>
        </w:rPr>
        <w:t>Ecosphere</w:t>
      </w:r>
      <w:r w:rsidRPr="003079B9">
        <w:t xml:space="preserve">, </w:t>
      </w:r>
      <w:r w:rsidRPr="003079B9">
        <w:rPr>
          <w:i/>
          <w:iCs/>
        </w:rPr>
        <w:t>12</w:t>
      </w:r>
      <w:r w:rsidRPr="003079B9">
        <w:t>(11), e03842. https://doi.org/10.1002/ecs2.3842</w:t>
      </w:r>
    </w:p>
    <w:p w14:paraId="2DAAB046" w14:textId="77777777" w:rsidR="003079B9" w:rsidRPr="003079B9" w:rsidRDefault="003079B9" w:rsidP="003079B9">
      <w:pPr>
        <w:pStyle w:val="Bibliography"/>
      </w:pPr>
      <w:r w:rsidRPr="003079B9">
        <w:lastRenderedPageBreak/>
        <w:t xml:space="preserve">Quast, C., Pruesse, E., Yilmaz, P., Gerken, J., Schweer, T., Yarza, P., Peplies, J., &amp; Glöckner, F. O. (2013). The SILVA ribosomal RNA gene database project: Improved data processing and web-based tools. </w:t>
      </w:r>
      <w:r w:rsidRPr="003079B9">
        <w:rPr>
          <w:i/>
          <w:iCs/>
        </w:rPr>
        <w:t>Nucleic Acids Research</w:t>
      </w:r>
      <w:r w:rsidRPr="003079B9">
        <w:t xml:space="preserve">, </w:t>
      </w:r>
      <w:r w:rsidRPr="003079B9">
        <w:rPr>
          <w:i/>
          <w:iCs/>
        </w:rPr>
        <w:t>41</w:t>
      </w:r>
      <w:r w:rsidRPr="003079B9">
        <w:t>(D1), D590–D596. https://doi.org/10.1093/nar/gks1219</w:t>
      </w:r>
    </w:p>
    <w:p w14:paraId="08392661" w14:textId="77777777" w:rsidR="003079B9" w:rsidRPr="003079B9" w:rsidRDefault="003079B9" w:rsidP="003079B9">
      <w:pPr>
        <w:pStyle w:val="Bibliography"/>
      </w:pPr>
      <w:r w:rsidRPr="003079B9">
        <w:t xml:space="preserve">R Core Team. (2013). </w:t>
      </w:r>
      <w:r w:rsidRPr="003079B9">
        <w:rPr>
          <w:i/>
          <w:iCs/>
        </w:rPr>
        <w:t>R: A language and environment for statistical computing. R Foundation for Statistical Computing</w:t>
      </w:r>
      <w:r w:rsidRPr="003079B9">
        <w:t xml:space="preserve"> (Version 4.3.1) [Computer software]. http://www.R-project.org/</w:t>
      </w:r>
    </w:p>
    <w:p w14:paraId="13820C84" w14:textId="77777777" w:rsidR="003079B9" w:rsidRPr="003079B9" w:rsidRDefault="003079B9" w:rsidP="003079B9">
      <w:pPr>
        <w:pStyle w:val="Bibliography"/>
      </w:pPr>
      <w:r w:rsidRPr="003079B9">
        <w:t xml:space="preserve">Rognes, T., Flouri, T., Nichols, B., Quince, C., &amp; Mahé, F. (2016). VSEARCH: A versatile open source tool for metagenomics. </w:t>
      </w:r>
      <w:r w:rsidRPr="003079B9">
        <w:rPr>
          <w:i/>
          <w:iCs/>
        </w:rPr>
        <w:t>PeerJ</w:t>
      </w:r>
      <w:r w:rsidRPr="003079B9">
        <w:t xml:space="preserve">, </w:t>
      </w:r>
      <w:r w:rsidRPr="003079B9">
        <w:rPr>
          <w:i/>
          <w:iCs/>
        </w:rPr>
        <w:t>4</w:t>
      </w:r>
      <w:r w:rsidRPr="003079B9">
        <w:t>, e2584. https://doi.org/10.7717/peerj.2584</w:t>
      </w:r>
    </w:p>
    <w:p w14:paraId="7F26DD0C" w14:textId="77777777" w:rsidR="003079B9" w:rsidRPr="003079B9" w:rsidRDefault="003079B9" w:rsidP="003079B9">
      <w:pPr>
        <w:pStyle w:val="Bibliography"/>
      </w:pPr>
      <w:r w:rsidRPr="003079B9">
        <w:t xml:space="preserve">Silverstein, M. R., Bhatnagar, J. M., &amp; Segrè, D. (2024). Metabolic complexity drives divergence in microbial communities. </w:t>
      </w:r>
      <w:r w:rsidRPr="003079B9">
        <w:rPr>
          <w:i/>
          <w:iCs/>
        </w:rPr>
        <w:t>Nature Ecology &amp; Evolution</w:t>
      </w:r>
      <w:r w:rsidRPr="003079B9">
        <w:t xml:space="preserve">, </w:t>
      </w:r>
      <w:r w:rsidRPr="003079B9">
        <w:rPr>
          <w:i/>
          <w:iCs/>
        </w:rPr>
        <w:t>8</w:t>
      </w:r>
      <w:r w:rsidRPr="003079B9">
        <w:t>(8), 1493–1504. https://doi.org/10.1038/s41559-024-02440-6</w:t>
      </w:r>
    </w:p>
    <w:p w14:paraId="10FAFEF0" w14:textId="77777777" w:rsidR="003079B9" w:rsidRPr="003079B9" w:rsidRDefault="003079B9" w:rsidP="003079B9">
      <w:pPr>
        <w:pStyle w:val="Bibliography"/>
      </w:pPr>
      <w:r w:rsidRPr="003079B9">
        <w:t xml:space="preserve">Sogin, M. L., Morrison, H. G., Huber, J. A., Welch, D. M., Huse, S. M., Neal, P. R., Arrieta, J. M., &amp; Herndl, G. J. (2006). Microbial diversity in the deep sea and the underexplored “rare biosphere.” </w:t>
      </w:r>
      <w:r w:rsidRPr="003079B9">
        <w:rPr>
          <w:i/>
          <w:iCs/>
        </w:rPr>
        <w:t>Proceedings of the National Academy of Sciences</w:t>
      </w:r>
      <w:r w:rsidRPr="003079B9">
        <w:t xml:space="preserve">, </w:t>
      </w:r>
      <w:r w:rsidRPr="003079B9">
        <w:rPr>
          <w:i/>
          <w:iCs/>
        </w:rPr>
        <w:t>103</w:t>
      </w:r>
      <w:r w:rsidRPr="003079B9">
        <w:t>(32), 12115–12120. https://doi.org/10.1073/pnas.0605127103</w:t>
      </w:r>
    </w:p>
    <w:p w14:paraId="0812EE1F" w14:textId="77777777" w:rsidR="003079B9" w:rsidRPr="003079B9" w:rsidRDefault="003079B9" w:rsidP="003079B9">
      <w:pPr>
        <w:pStyle w:val="Bibliography"/>
      </w:pPr>
      <w:r w:rsidRPr="003079B9">
        <w:t xml:space="preserve">Talbot, J. M., Bruns, T. D., Taylor, J. W., Smith, D. P., Branco, S., Glassman, S. I., Erlandson, S., Vilgalys, R., Liao, H. L., Smith, M. E., &amp; Peay, K. G. (2014). Endemism and functional convergence across the North American soil mycobiome. </w:t>
      </w:r>
      <w:r w:rsidRPr="003079B9">
        <w:rPr>
          <w:i/>
          <w:iCs/>
        </w:rPr>
        <w:t>Proceedings of the National Academy of Sciences of the United States of America</w:t>
      </w:r>
      <w:r w:rsidRPr="003079B9">
        <w:t xml:space="preserve">, </w:t>
      </w:r>
      <w:r w:rsidRPr="003079B9">
        <w:rPr>
          <w:i/>
          <w:iCs/>
        </w:rPr>
        <w:t>111</w:t>
      </w:r>
      <w:r w:rsidRPr="003079B9">
        <w:t>(17), 6341–6346. https://doi.org/10.1073/pnas.1402584111</w:t>
      </w:r>
    </w:p>
    <w:p w14:paraId="5945BFD3" w14:textId="77777777" w:rsidR="003079B9" w:rsidRPr="003079B9" w:rsidRDefault="003079B9" w:rsidP="003079B9">
      <w:pPr>
        <w:pStyle w:val="Bibliography"/>
      </w:pPr>
      <w:r w:rsidRPr="003079B9">
        <w:t xml:space="preserve">Tatsumi, C., Atherton, K. F., Garvey, S. M., Conrad-Rooney, E., Morreale, L. L., Hutyra, L. R., Templer, P. H., &amp; Bhatnagar, J. M. (2023). Urbanization and edge effects interact to drive mutualism breakdown and the rise of unstable pathogenic communities in forest </w:t>
      </w:r>
      <w:r w:rsidRPr="003079B9">
        <w:lastRenderedPageBreak/>
        <w:t xml:space="preserve">soil. </w:t>
      </w:r>
      <w:r w:rsidRPr="003079B9">
        <w:rPr>
          <w:i/>
          <w:iCs/>
        </w:rPr>
        <w:t>Proceedings of the National Academy of Sciences</w:t>
      </w:r>
      <w:r w:rsidRPr="003079B9">
        <w:t xml:space="preserve">, </w:t>
      </w:r>
      <w:r w:rsidRPr="003079B9">
        <w:rPr>
          <w:i/>
          <w:iCs/>
        </w:rPr>
        <w:t>120</w:t>
      </w:r>
      <w:r w:rsidRPr="003079B9">
        <w:t>(36), e2307519120. https://doi.org/10.1073/pnas.2307519120</w:t>
      </w:r>
    </w:p>
    <w:p w14:paraId="63DCF411" w14:textId="77777777" w:rsidR="003079B9" w:rsidRPr="003079B9" w:rsidRDefault="003079B9" w:rsidP="003079B9">
      <w:pPr>
        <w:pStyle w:val="Bibliography"/>
      </w:pPr>
      <w:r w:rsidRPr="003079B9">
        <w:t xml:space="preserve">Tedersoo, L., Bahram, M., Põlme, S., Kõljalg, U., Yorou, N. S., Wijesundera, R., Ruiz, L. V., Vasco-Palacios, A. M., Thu, P. Q., Suija, A., Smith, M. E., Sharp, C., Saluveer, E., Saitta, A., Rosas, M., Riit, T., Ratkowsky, D., Pritsch, K., Põldmaa, K., … Abarenkov, K. (2014). Global diversity and geography of soil fungi. </w:t>
      </w:r>
      <w:r w:rsidRPr="003079B9">
        <w:rPr>
          <w:i/>
          <w:iCs/>
        </w:rPr>
        <w:t>Science</w:t>
      </w:r>
      <w:r w:rsidRPr="003079B9">
        <w:t xml:space="preserve">, </w:t>
      </w:r>
      <w:r w:rsidRPr="003079B9">
        <w:rPr>
          <w:i/>
          <w:iCs/>
        </w:rPr>
        <w:t>346</w:t>
      </w:r>
      <w:r w:rsidRPr="003079B9">
        <w:t>(6213), 1256688. https://doi.org/10.1126/science.1256688</w:t>
      </w:r>
    </w:p>
    <w:p w14:paraId="2E8C1807" w14:textId="77777777" w:rsidR="003079B9" w:rsidRPr="003079B9" w:rsidRDefault="003079B9" w:rsidP="003079B9">
      <w:pPr>
        <w:pStyle w:val="Bibliography"/>
      </w:pPr>
      <w:r w:rsidRPr="003079B9">
        <w:t xml:space="preserve">Templ, M., Hron, K., Filzmoser, P., Facevicova, K., Kynclova, P., Walach, J., Pintar, V., Chen, J., Miksova, D., Meindl, B., Menafoglio, A., Blasi, A. D., Pavone, F., Stefelova, N., Zeni, G., &amp; Wiederkehr, R. (2023). </w:t>
      </w:r>
      <w:r w:rsidRPr="003079B9">
        <w:rPr>
          <w:i/>
          <w:iCs/>
        </w:rPr>
        <w:t>robCompositions: Compositional Data Analysis</w:t>
      </w:r>
      <w:r w:rsidRPr="003079B9">
        <w:t xml:space="preserve"> (Version 2.4.1) [Computer software]. https://cran.r-project.org/web/packages/robCompositions/index.html</w:t>
      </w:r>
    </w:p>
    <w:p w14:paraId="4F8294F1" w14:textId="77777777" w:rsidR="003079B9" w:rsidRPr="003079B9" w:rsidRDefault="003079B9" w:rsidP="003079B9">
      <w:pPr>
        <w:pStyle w:val="Bibliography"/>
      </w:pPr>
      <w:r w:rsidRPr="003079B9">
        <w:t xml:space="preserve">Thompson, L. R., Sanders, J. G., McDonald, D., Amir, A., Ladau, J., Locey, K. J., Prill, R. J., Tripathi, A., Gibbons, S. M., Ackermann, G., Navas-Molina, J. A., Janssen, S., Kopylova, E., Vázquez-Baeza, Y., González, A., Morton, J. T., Mirarab, S., Xu, Z. Z., Jiang, L., … Zhao, H. (2017). A communal catalogue reveals Earth’s multiscale microbial diversity. </w:t>
      </w:r>
      <w:r w:rsidRPr="003079B9">
        <w:rPr>
          <w:i/>
          <w:iCs/>
        </w:rPr>
        <w:t>Nature</w:t>
      </w:r>
      <w:r w:rsidRPr="003079B9">
        <w:t xml:space="preserve">, </w:t>
      </w:r>
      <w:r w:rsidRPr="003079B9">
        <w:rPr>
          <w:i/>
          <w:iCs/>
        </w:rPr>
        <w:t>551</w:t>
      </w:r>
      <w:r w:rsidRPr="003079B9">
        <w:t>(7681), 457–463. https://doi.org/10.1038/nature24621</w:t>
      </w:r>
    </w:p>
    <w:p w14:paraId="5F98B791" w14:textId="77777777" w:rsidR="003079B9" w:rsidRPr="003079B9" w:rsidRDefault="003079B9" w:rsidP="003079B9">
      <w:pPr>
        <w:pStyle w:val="Bibliography"/>
      </w:pPr>
      <w:r w:rsidRPr="003079B9">
        <w:t xml:space="preserve">Vasar, M., Davison, J., Sepp, S.-K., Mucina, L., Oja, J., Al-Quraishy, S., Anslan, S., Bahram, M., Bueno, C. G., Cantero, J. J., Decocq, G., Fraser, L., Hiiesalu, I., Hozzein, W. N., Koorem, K., Meng, Y., Moora, M., Onipchenko, V., Öpik, M., … Zobel, M. (2022). Global soil microbiomes: A new frontline of biome-ecology research. </w:t>
      </w:r>
      <w:r w:rsidRPr="003079B9">
        <w:rPr>
          <w:i/>
          <w:iCs/>
        </w:rPr>
        <w:t>Global Ecology and Biogeography</w:t>
      </w:r>
      <w:r w:rsidRPr="003079B9">
        <w:t xml:space="preserve">, </w:t>
      </w:r>
      <w:r w:rsidRPr="003079B9">
        <w:rPr>
          <w:i/>
          <w:iCs/>
        </w:rPr>
        <w:t>31</w:t>
      </w:r>
      <w:r w:rsidRPr="003079B9">
        <w:t>(6), 1120–1132. https://doi.org/10.1111/geb.13487</w:t>
      </w:r>
    </w:p>
    <w:p w14:paraId="00C7239A" w14:textId="77777777" w:rsidR="003079B9" w:rsidRPr="003079B9" w:rsidRDefault="003079B9" w:rsidP="003079B9">
      <w:pPr>
        <w:pStyle w:val="Bibliography"/>
      </w:pPr>
      <w:r w:rsidRPr="003079B9">
        <w:lastRenderedPageBreak/>
        <w:t xml:space="preserve">Vietorisz, C., Policelli, N., Li, A., Adams, L. A., &amp; Bhatnagar, J. M. (2024). </w:t>
      </w:r>
      <w:r w:rsidRPr="003079B9">
        <w:rPr>
          <w:i/>
          <w:iCs/>
        </w:rPr>
        <w:t>Microbial functional guilds and genes are key to explaining soil nutrient cycling alongside soil and plant variables</w:t>
      </w:r>
      <w:r w:rsidRPr="003079B9">
        <w:t xml:space="preserve"> (p. 2024.12.13.627780). bioRxiv. https://doi.org/10.1101/2024.12.13.627780</w:t>
      </w:r>
    </w:p>
    <w:p w14:paraId="72AD69F6" w14:textId="77777777" w:rsidR="003079B9" w:rsidRPr="003079B9" w:rsidRDefault="003079B9" w:rsidP="003079B9">
      <w:pPr>
        <w:pStyle w:val="Bibliography"/>
      </w:pPr>
      <w:r w:rsidRPr="003079B9">
        <w:t xml:space="preserve">Weiss, S., Xu, Z. Z., Peddada, S., Amir, A., Bittinger, K., Gonzalez, A., Lozupone, C., Zaneveld, J. R., Vázquez-Baeza, Y., Birmingham, A., Hyde, E. R., &amp; Knight, R. (2017). Normalization and microbial differential abundance strategies depend upon data characteristics. </w:t>
      </w:r>
      <w:r w:rsidRPr="003079B9">
        <w:rPr>
          <w:i/>
          <w:iCs/>
        </w:rPr>
        <w:t>Microbiome</w:t>
      </w:r>
      <w:r w:rsidRPr="003079B9">
        <w:t xml:space="preserve">, </w:t>
      </w:r>
      <w:r w:rsidRPr="003079B9">
        <w:rPr>
          <w:i/>
          <w:iCs/>
        </w:rPr>
        <w:t>5</w:t>
      </w:r>
      <w:r w:rsidRPr="003079B9">
        <w:t>(1), 27. https://doi.org/10.1186/s40168-017-0237-y</w:t>
      </w:r>
    </w:p>
    <w:p w14:paraId="01C70A38" w14:textId="77777777" w:rsidR="003079B9" w:rsidRPr="003079B9" w:rsidRDefault="003079B9" w:rsidP="003079B9">
      <w:pPr>
        <w:pStyle w:val="Bibliography"/>
      </w:pPr>
      <w:r w:rsidRPr="003079B9">
        <w:t xml:space="preserve">Werbin, Z., Averill, C., Bhatnagar, J., &amp; Dietze, M. (2024). </w:t>
      </w:r>
      <w:r w:rsidRPr="003079B9">
        <w:rPr>
          <w:i/>
          <w:iCs/>
        </w:rPr>
        <w:t>Forecasting the soil microbiome at a continental scale</w:t>
      </w:r>
      <w:r w:rsidRPr="003079B9">
        <w:t>. Research Square. https://doi.org/10.21203/rs.3.rs-5183308/v1</w:t>
      </w:r>
    </w:p>
    <w:p w14:paraId="4BDFAB22" w14:textId="77777777" w:rsidR="003079B9" w:rsidRPr="003079B9" w:rsidRDefault="003079B9" w:rsidP="003079B9">
      <w:pPr>
        <w:pStyle w:val="Bibliography"/>
      </w:pPr>
      <w:r w:rsidRPr="003079B9">
        <w:t xml:space="preserve">Wickham, H., Bryan, J., Posit, attribution), P. (Copyright holder of all R. code and all C. code without explicit copyright, code), M. K. (Author of included R., code), K. V. (Author of included libxls, code), C. L. (Author of included libxls, code), B. C. (Author of included libxls, code), D. H. (Author of included libxls, &amp; code), E. M. (Author of included libxls. (2025). </w:t>
      </w:r>
      <w:r w:rsidRPr="003079B9">
        <w:rPr>
          <w:i/>
          <w:iCs/>
        </w:rPr>
        <w:t>readxl: Read Excel Files</w:t>
      </w:r>
      <w:r w:rsidRPr="003079B9">
        <w:t xml:space="preserve"> (Version 1.4.5) [Computer software]. https://cran.r-project.org/web/packages/readxl/index.html</w:t>
      </w:r>
    </w:p>
    <w:p w14:paraId="5EB5184F" w14:textId="77777777" w:rsidR="003079B9" w:rsidRPr="003079B9" w:rsidRDefault="003079B9" w:rsidP="003079B9">
      <w:pPr>
        <w:pStyle w:val="Bibliography"/>
      </w:pPr>
      <w:r w:rsidRPr="003079B9">
        <w:t xml:space="preserve">Wickham, H., Chang, W., Henry, L., Pedersen, T. L., Takahashi, K., Wilke, C., Woo, K., Yutani, H., Dunnington, D., Brand, T. van den, Posit, &amp; PBC. (2025). </w:t>
      </w:r>
      <w:r w:rsidRPr="003079B9">
        <w:rPr>
          <w:i/>
          <w:iCs/>
        </w:rPr>
        <w:t>ggplot2: Create Elegant Data Visualisations Using the Grammar of Graphics</w:t>
      </w:r>
      <w:r w:rsidRPr="003079B9">
        <w:t xml:space="preserve"> (Version 3.5.2) [Computer software]. https://cran.r-project.org/web/packages/ggplot2/index.html</w:t>
      </w:r>
    </w:p>
    <w:p w14:paraId="64728130" w14:textId="77777777" w:rsidR="003079B9" w:rsidRPr="003079B9" w:rsidRDefault="003079B9" w:rsidP="003079B9">
      <w:pPr>
        <w:pStyle w:val="Bibliography"/>
      </w:pPr>
      <w:r w:rsidRPr="003079B9">
        <w:t xml:space="preserve">Wickham, H., François, R., Henry, L., Müller, K., Vaughan, D., Software, P., &amp; PBC. (2023). </w:t>
      </w:r>
      <w:r w:rsidRPr="003079B9">
        <w:rPr>
          <w:i/>
          <w:iCs/>
        </w:rPr>
        <w:t>dplyr: A Grammar of Data Manipulation</w:t>
      </w:r>
      <w:r w:rsidRPr="003079B9">
        <w:t xml:space="preserve"> (Version 1.1.4) [Computer software]. https://cran.r-project.org/web/packages/dplyr/index.html</w:t>
      </w:r>
    </w:p>
    <w:p w14:paraId="17D2FD42" w14:textId="77777777" w:rsidR="003079B9" w:rsidRPr="003079B9" w:rsidRDefault="003079B9" w:rsidP="003079B9">
      <w:pPr>
        <w:pStyle w:val="Bibliography"/>
      </w:pPr>
      <w:r w:rsidRPr="003079B9">
        <w:lastRenderedPageBreak/>
        <w:t xml:space="preserve">Wickham, H., Henry, L., Software, P., PBC [cph, &amp; fnd. (2025). </w:t>
      </w:r>
      <w:r w:rsidRPr="003079B9">
        <w:rPr>
          <w:i/>
          <w:iCs/>
        </w:rPr>
        <w:t>purrr: Functional Programming Tools</w:t>
      </w:r>
      <w:r w:rsidRPr="003079B9">
        <w:t xml:space="preserve"> (Version 1.1.0) [Computer software]. https://cran.r-project.org/web/packages/purrr/index.html</w:t>
      </w:r>
    </w:p>
    <w:p w14:paraId="144A9942" w14:textId="77777777" w:rsidR="003079B9" w:rsidRPr="003079B9" w:rsidRDefault="003079B9" w:rsidP="003079B9">
      <w:pPr>
        <w:pStyle w:val="Bibliography"/>
      </w:pPr>
      <w:r w:rsidRPr="003079B9">
        <w:t xml:space="preserve">Wickham, H., Hester, J., Francois, R., Bryan, J., Bearrows, S., Software, P., PBC, library),  https://github com/mandreyel/ (mio, implementation), J. J. (grisu3, &amp; implementation), M. J. (grisu3. (2024). </w:t>
      </w:r>
      <w:r w:rsidRPr="003079B9">
        <w:rPr>
          <w:i/>
          <w:iCs/>
        </w:rPr>
        <w:t>readr: Read Rectangular Text Data</w:t>
      </w:r>
      <w:r w:rsidRPr="003079B9">
        <w:t xml:space="preserve"> (Version 2.1.5) [Computer software]. https://cran.r-project.org/web/packages/readr/index.html</w:t>
      </w:r>
    </w:p>
    <w:p w14:paraId="0CE62902" w14:textId="77777777" w:rsidR="003079B9" w:rsidRPr="003079B9" w:rsidRDefault="003079B9" w:rsidP="003079B9">
      <w:pPr>
        <w:pStyle w:val="Bibliography"/>
      </w:pPr>
      <w:r w:rsidRPr="003079B9">
        <w:t xml:space="preserve">Wickham, H., &amp; RStudio. (2023). </w:t>
      </w:r>
      <w:r w:rsidRPr="003079B9">
        <w:rPr>
          <w:i/>
          <w:iCs/>
        </w:rPr>
        <w:t>tidyverse: Easily Install and Load the “Tidyverse”</w:t>
      </w:r>
      <w:r w:rsidRPr="003079B9">
        <w:t xml:space="preserve"> (Version 2.0.0) [Computer software]. https://cran.r-project.org/web/packages/tidyverse/index.html</w:t>
      </w:r>
    </w:p>
    <w:p w14:paraId="74BFF5C2" w14:textId="77777777" w:rsidR="003079B9" w:rsidRPr="003079B9" w:rsidRDefault="003079B9" w:rsidP="003079B9">
      <w:pPr>
        <w:pStyle w:val="Bibliography"/>
      </w:pPr>
      <w:r w:rsidRPr="003079B9">
        <w:t xml:space="preserve">Wickham, H., Vaughan, D., Girlich, M., Ushey, K., Software, P., &amp; PBC. (2024). </w:t>
      </w:r>
      <w:r w:rsidRPr="003079B9">
        <w:rPr>
          <w:i/>
          <w:iCs/>
        </w:rPr>
        <w:t>tidyr: Tidy Messy Data</w:t>
      </w:r>
      <w:r w:rsidRPr="003079B9">
        <w:t xml:space="preserve"> (Version 1.3.1) [Computer software]. https://cran.r-project.org/web/packages/tidyr/index.html</w:t>
      </w:r>
    </w:p>
    <w:p w14:paraId="034410FC" w14:textId="77777777" w:rsidR="003079B9" w:rsidRPr="003079B9" w:rsidRDefault="003079B9" w:rsidP="003079B9">
      <w:pPr>
        <w:pStyle w:val="Bibliography"/>
      </w:pPr>
      <w:r w:rsidRPr="003079B9">
        <w:t xml:space="preserve">Yang, R.-H., Su, J.-H., Shang, J.-J., Wu, Y.-Y., Li, Y., Bao, D.-P., &amp; Yao, Y.-J. (2018). Evaluation of the ribosomal DNA internal transcribed spacer (ITS), specifically ITS1 and ITS2, for the analysis of fungal diversity by deep sequencing. </w:t>
      </w:r>
      <w:r w:rsidRPr="003079B9">
        <w:rPr>
          <w:i/>
          <w:iCs/>
        </w:rPr>
        <w:t>PLoS ONE</w:t>
      </w:r>
      <w:r w:rsidRPr="003079B9">
        <w:t xml:space="preserve">, </w:t>
      </w:r>
      <w:r w:rsidRPr="003079B9">
        <w:rPr>
          <w:i/>
          <w:iCs/>
        </w:rPr>
        <w:t>13</w:t>
      </w:r>
      <w:r w:rsidRPr="003079B9">
        <w:t>(10), e0206428. https://doi.org/10.1371/journal.pone.0206428</w:t>
      </w:r>
    </w:p>
    <w:p w14:paraId="654C509D" w14:textId="77777777" w:rsidR="003079B9" w:rsidRPr="003079B9" w:rsidRDefault="003079B9" w:rsidP="003079B9">
      <w:pPr>
        <w:pStyle w:val="Bibliography"/>
      </w:pPr>
      <w:r w:rsidRPr="003079B9">
        <w:t xml:space="preserve">Yang, X., Jiang, G., Zhang, Y., Wang, N., Zhang, Y., Wang, X., Zhao, F.-J., Xu, Y., Shen, Q., &amp; Wei, Z. (2023). MBPD: A multiple bacterial pathogen detection pipeline for One Health practices. </w:t>
      </w:r>
      <w:r w:rsidRPr="003079B9">
        <w:rPr>
          <w:i/>
          <w:iCs/>
        </w:rPr>
        <w:t>iMeta</w:t>
      </w:r>
      <w:r w:rsidRPr="003079B9">
        <w:t xml:space="preserve">, </w:t>
      </w:r>
      <w:r w:rsidRPr="003079B9">
        <w:rPr>
          <w:i/>
          <w:iCs/>
        </w:rPr>
        <w:t>2</w:t>
      </w:r>
      <w:r w:rsidRPr="003079B9">
        <w:t>(1), e82. https://doi.org/10.1002/imt2.82</w:t>
      </w:r>
    </w:p>
    <w:p w14:paraId="3BBD724D" w14:textId="77777777" w:rsidR="003079B9" w:rsidRPr="003079B9" w:rsidRDefault="003079B9" w:rsidP="003079B9">
      <w:pPr>
        <w:pStyle w:val="Bibliography"/>
      </w:pPr>
      <w:r w:rsidRPr="003079B9">
        <w:t xml:space="preserve">Zhang, Y., Parmigiani, G., &amp; Johnson, W. E. (2020). ComBat-seq: Batch effect adjustment for RNA-seq count data. </w:t>
      </w:r>
      <w:r w:rsidRPr="003079B9">
        <w:rPr>
          <w:i/>
          <w:iCs/>
        </w:rPr>
        <w:t>NAR Genomics and Bioinformatics</w:t>
      </w:r>
      <w:r w:rsidRPr="003079B9">
        <w:t xml:space="preserve">, </w:t>
      </w:r>
      <w:r w:rsidRPr="003079B9">
        <w:rPr>
          <w:i/>
          <w:iCs/>
        </w:rPr>
        <w:t>2</w:t>
      </w:r>
      <w:r w:rsidRPr="003079B9">
        <w:t>(3), lqaa078. https://doi.org/10.1093/nargab/lqaa078</w:t>
      </w:r>
    </w:p>
    <w:p w14:paraId="6DD6C797" w14:textId="77777777" w:rsidR="003079B9" w:rsidRPr="003079B9" w:rsidRDefault="003079B9" w:rsidP="003079B9">
      <w:pPr>
        <w:pStyle w:val="Bibliography"/>
      </w:pPr>
      <w:r w:rsidRPr="003079B9">
        <w:lastRenderedPageBreak/>
        <w:t xml:space="preserve">Zhao, J., Rodriguez, J., &amp; Martens-Habbena, W. (2023). Fine-scale evaluation of two standard 16S rRNA gene amplicon primer pairs for analysis of total prokaryotes and archaeal nitrifiers in differently managed soils. </w:t>
      </w:r>
      <w:r w:rsidRPr="003079B9">
        <w:rPr>
          <w:i/>
          <w:iCs/>
        </w:rPr>
        <w:t>Frontiers in Microbiology</w:t>
      </w:r>
      <w:r w:rsidRPr="003079B9">
        <w:t xml:space="preserve">, </w:t>
      </w:r>
      <w:r w:rsidRPr="003079B9">
        <w:rPr>
          <w:i/>
          <w:iCs/>
        </w:rPr>
        <w:t>14</w:t>
      </w:r>
      <w:r w:rsidRPr="003079B9">
        <w:t>. https://doi.org/10.3389/fmicb.2023.1140487</w:t>
      </w:r>
    </w:p>
    <w:p w14:paraId="5A4F825B" w14:textId="09E1DD8A" w:rsidR="00D73F59" w:rsidRPr="005C5D5C" w:rsidRDefault="00403D5C" w:rsidP="00D87226">
      <w:pPr>
        <w:spacing w:line="480" w:lineRule="auto"/>
      </w:pPr>
      <w:r>
        <w:rPr>
          <w:rFonts w:cs="Times New Roman"/>
          <w:i/>
          <w:iCs/>
        </w:rPr>
        <w:fldChar w:fldCharType="end"/>
      </w:r>
    </w:p>
    <w:sectPr w:rsidR="00D73F59" w:rsidRPr="005C5D5C" w:rsidSect="002C0C1C">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82DE810" w16cex:dateUtc="2025-07-30T17:11:00Z"/>
  <w16cex:commentExtensible w16cex:durableId="322D33E7" w16cex:dateUtc="2025-08-01T16:04:00Z"/>
  <w16cex:commentExtensible w16cex:durableId="5827182D" w16cex:dateUtc="2025-07-30T17:20:00Z"/>
  <w16cex:commentExtensible w16cex:durableId="772F2D96" w16cex:dateUtc="2025-07-30T18:05:00Z"/>
  <w16cex:commentExtensible w16cex:durableId="44FA177D" w16cex:dateUtc="2025-07-30T18:06:00Z"/>
  <w16cex:commentExtensible w16cex:durableId="625C2829" w16cex:dateUtc="2025-08-05T11:30:00Z"/>
  <w16cex:commentExtensible w16cex:durableId="31A2F29F" w16cex:dateUtc="2025-08-01T16:18:00Z"/>
  <w16cex:commentExtensible w16cex:durableId="657F9D77" w16cex:dateUtc="2025-08-01T16:18:00Z"/>
  <w16cex:commentExtensible w16cex:durableId="5BB87E3C" w16cex:dateUtc="2025-08-01T16:34:00Z"/>
  <w16cex:commentExtensible w16cex:durableId="019B82E0" w16cex:dateUtc="2025-08-05T11:54:00Z"/>
  <w16cex:commentExtensible w16cex:durableId="4838F816" w16cex:dateUtc="2025-08-01T16:37:00Z"/>
  <w16cex:commentExtensible w16cex:durableId="14A71C21" w16cex:dateUtc="2025-08-01T16:51:00Z"/>
  <w16cex:commentExtensible w16cex:durableId="2E21D7C7" w16cex:dateUtc="2025-08-01T18:42:00Z"/>
  <w16cex:commentExtensible w16cex:durableId="55336D70" w16cex:dateUtc="2025-08-05T12:10:00Z"/>
  <w16cex:commentExtensible w16cex:durableId="66FFB0AB" w16cex:dateUtc="2025-08-05T12:22:00Z"/>
  <w16cex:commentExtensible w16cex:durableId="22131CF1" w16cex:dateUtc="2025-08-02T20:24:00Z"/>
  <w16cex:commentExtensible w16cex:durableId="3B2A13BA" w16cex:dateUtc="2025-08-02T20:29:00Z"/>
  <w16cex:commentExtensible w16cex:durableId="2CFD8ED4" w16cex:dateUtc="2025-08-02T10:49:00Z"/>
  <w16cex:commentExtensible w16cex:durableId="6A2E86F4" w16cex:dateUtc="2025-07-30T20:08:00Z"/>
  <w16cex:commentExtensible w16cex:durableId="3F15A3D0" w16cex:dateUtc="2025-08-01T20:36:00Z"/>
  <w16cex:commentExtensible w16cex:durableId="18F649FA" w16cex:dateUtc="2025-08-02T10:39:00Z"/>
  <w16cex:commentExtensible w16cex:durableId="63C9EFB4" w16cex:dateUtc="2025-08-05T12:34:00Z"/>
  <w16cex:commentExtensible w16cex:durableId="08DD4AD7" w16cex:dateUtc="2025-08-05T12:39:00Z"/>
  <w16cex:commentExtensible w16cex:durableId="2E7D4041" w16cex:dateUtc="2025-08-02T20:35:00Z"/>
  <w16cex:commentExtensible w16cex:durableId="7D188FBB" w16cex:dateUtc="2025-08-02T10:51:00Z"/>
  <w16cex:commentExtensible w16cex:durableId="1668EA0C" w16cex:dateUtc="2025-08-02T21:17:00Z"/>
  <w16cex:commentExtensible w16cex:durableId="0298980D" w16cex:dateUtc="2025-08-02T21:03:00Z"/>
  <w16cex:commentExtensible w16cex:durableId="2C52A3C0" w16cex:dateUtc="2025-08-02T21:32:00Z"/>
  <w16cex:commentExtensible w16cex:durableId="4FB6F915" w16cex:dateUtc="2025-08-02T20:45:00Z"/>
  <w16cex:commentExtensible w16cex:durableId="19FD2E86" w16cex:dateUtc="2025-08-01T13:45:00Z"/>
  <w16cex:commentExtensible w16cex:durableId="1BA7A04D" w16cex:dateUtc="2025-08-01T13:46:00Z"/>
  <w16cex:commentExtensible w16cex:durableId="1A8F3552" w16cex:dateUtc="2025-08-05T12:46:00Z"/>
  <w16cex:commentExtensible w16cex:durableId="6EE22FAC" w16cex:dateUtc="2025-08-02T21:40:00Z"/>
  <w16cex:commentExtensible w16cex:durableId="2F65272E" w16cex:dateUtc="2025-07-30T20:20: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627ED"/>
    <w:multiLevelType w:val="hybridMultilevel"/>
    <w:tmpl w:val="5038C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283F42"/>
    <w:multiLevelType w:val="hybridMultilevel"/>
    <w:tmpl w:val="B72E0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2C2ECF"/>
    <w:multiLevelType w:val="hybridMultilevel"/>
    <w:tmpl w:val="636ED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7F393D"/>
    <w:multiLevelType w:val="hybridMultilevel"/>
    <w:tmpl w:val="97784970"/>
    <w:lvl w:ilvl="0" w:tplc="D6D65C7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B21"/>
    <w:rsid w:val="000019B0"/>
    <w:rsid w:val="00005AA7"/>
    <w:rsid w:val="0001246E"/>
    <w:rsid w:val="00016AF0"/>
    <w:rsid w:val="00017AAB"/>
    <w:rsid w:val="000216BA"/>
    <w:rsid w:val="00021785"/>
    <w:rsid w:val="0002474A"/>
    <w:rsid w:val="00026376"/>
    <w:rsid w:val="00037885"/>
    <w:rsid w:val="00045E9E"/>
    <w:rsid w:val="00050E52"/>
    <w:rsid w:val="00050E9E"/>
    <w:rsid w:val="00054526"/>
    <w:rsid w:val="00064376"/>
    <w:rsid w:val="00072735"/>
    <w:rsid w:val="0008087A"/>
    <w:rsid w:val="000934AC"/>
    <w:rsid w:val="000969EF"/>
    <w:rsid w:val="000A782B"/>
    <w:rsid w:val="000D0219"/>
    <w:rsid w:val="000D1FE1"/>
    <w:rsid w:val="000E4250"/>
    <w:rsid w:val="000F5361"/>
    <w:rsid w:val="000F6035"/>
    <w:rsid w:val="001106A5"/>
    <w:rsid w:val="00113211"/>
    <w:rsid w:val="00114AAE"/>
    <w:rsid w:val="0012011C"/>
    <w:rsid w:val="001220E5"/>
    <w:rsid w:val="00122DAC"/>
    <w:rsid w:val="0012450B"/>
    <w:rsid w:val="00130906"/>
    <w:rsid w:val="00130DB8"/>
    <w:rsid w:val="001321AA"/>
    <w:rsid w:val="0013631E"/>
    <w:rsid w:val="00136DD9"/>
    <w:rsid w:val="001377D2"/>
    <w:rsid w:val="0014153C"/>
    <w:rsid w:val="0014791E"/>
    <w:rsid w:val="00154104"/>
    <w:rsid w:val="00157562"/>
    <w:rsid w:val="00157730"/>
    <w:rsid w:val="00163928"/>
    <w:rsid w:val="00163C21"/>
    <w:rsid w:val="00165B93"/>
    <w:rsid w:val="0017348B"/>
    <w:rsid w:val="00174ACD"/>
    <w:rsid w:val="00175A40"/>
    <w:rsid w:val="0018079B"/>
    <w:rsid w:val="00186245"/>
    <w:rsid w:val="001874E2"/>
    <w:rsid w:val="001A15E3"/>
    <w:rsid w:val="001B1F91"/>
    <w:rsid w:val="001B2ABE"/>
    <w:rsid w:val="001C020F"/>
    <w:rsid w:val="001C56E5"/>
    <w:rsid w:val="001D4E1E"/>
    <w:rsid w:val="001E0D57"/>
    <w:rsid w:val="001E4879"/>
    <w:rsid w:val="001F2C3E"/>
    <w:rsid w:val="00207461"/>
    <w:rsid w:val="00213DF9"/>
    <w:rsid w:val="00220D09"/>
    <w:rsid w:val="00227687"/>
    <w:rsid w:val="002315F9"/>
    <w:rsid w:val="00232847"/>
    <w:rsid w:val="0024243C"/>
    <w:rsid w:val="00255ECA"/>
    <w:rsid w:val="002578E6"/>
    <w:rsid w:val="0026217D"/>
    <w:rsid w:val="00272F4A"/>
    <w:rsid w:val="00275729"/>
    <w:rsid w:val="0027745B"/>
    <w:rsid w:val="00284AAE"/>
    <w:rsid w:val="00287EBB"/>
    <w:rsid w:val="002914D1"/>
    <w:rsid w:val="0029796B"/>
    <w:rsid w:val="002A3AA4"/>
    <w:rsid w:val="002A4EAF"/>
    <w:rsid w:val="002C0C1C"/>
    <w:rsid w:val="002C19A8"/>
    <w:rsid w:val="002C25D0"/>
    <w:rsid w:val="002C3490"/>
    <w:rsid w:val="002D20D6"/>
    <w:rsid w:val="002D306B"/>
    <w:rsid w:val="002F2EA0"/>
    <w:rsid w:val="002F378F"/>
    <w:rsid w:val="002F7B80"/>
    <w:rsid w:val="00301451"/>
    <w:rsid w:val="00304F9F"/>
    <w:rsid w:val="003079B9"/>
    <w:rsid w:val="003258D4"/>
    <w:rsid w:val="00337D4C"/>
    <w:rsid w:val="003508AD"/>
    <w:rsid w:val="003524BC"/>
    <w:rsid w:val="0035599F"/>
    <w:rsid w:val="00370646"/>
    <w:rsid w:val="00374F26"/>
    <w:rsid w:val="003766B6"/>
    <w:rsid w:val="003840D9"/>
    <w:rsid w:val="00384514"/>
    <w:rsid w:val="00390442"/>
    <w:rsid w:val="00394488"/>
    <w:rsid w:val="00395AA8"/>
    <w:rsid w:val="003A71C9"/>
    <w:rsid w:val="003B1CD0"/>
    <w:rsid w:val="003C0A48"/>
    <w:rsid w:val="003C4730"/>
    <w:rsid w:val="003C4E49"/>
    <w:rsid w:val="003C6F1E"/>
    <w:rsid w:val="003C7070"/>
    <w:rsid w:val="003C74A2"/>
    <w:rsid w:val="003D51BF"/>
    <w:rsid w:val="003E6F33"/>
    <w:rsid w:val="003F089C"/>
    <w:rsid w:val="003F5C80"/>
    <w:rsid w:val="003F5FDD"/>
    <w:rsid w:val="003F62E0"/>
    <w:rsid w:val="004017D5"/>
    <w:rsid w:val="0040358B"/>
    <w:rsid w:val="00403D5C"/>
    <w:rsid w:val="00406E6B"/>
    <w:rsid w:val="00412DE0"/>
    <w:rsid w:val="004138EA"/>
    <w:rsid w:val="00413D8D"/>
    <w:rsid w:val="0041772F"/>
    <w:rsid w:val="00417884"/>
    <w:rsid w:val="00417F07"/>
    <w:rsid w:val="00420D7E"/>
    <w:rsid w:val="00423582"/>
    <w:rsid w:val="00436A69"/>
    <w:rsid w:val="00442D2A"/>
    <w:rsid w:val="00456123"/>
    <w:rsid w:val="004570DC"/>
    <w:rsid w:val="00467974"/>
    <w:rsid w:val="004720B0"/>
    <w:rsid w:val="00487BB7"/>
    <w:rsid w:val="00490890"/>
    <w:rsid w:val="004A1B73"/>
    <w:rsid w:val="004A370E"/>
    <w:rsid w:val="004A66C7"/>
    <w:rsid w:val="004B342D"/>
    <w:rsid w:val="004C5BD7"/>
    <w:rsid w:val="004C7FB9"/>
    <w:rsid w:val="004D281C"/>
    <w:rsid w:val="004D430B"/>
    <w:rsid w:val="004D6509"/>
    <w:rsid w:val="004D6B69"/>
    <w:rsid w:val="004F00C4"/>
    <w:rsid w:val="004F1BC2"/>
    <w:rsid w:val="004F4349"/>
    <w:rsid w:val="00505EC1"/>
    <w:rsid w:val="00510C91"/>
    <w:rsid w:val="00517B15"/>
    <w:rsid w:val="00532959"/>
    <w:rsid w:val="005344F7"/>
    <w:rsid w:val="0053507D"/>
    <w:rsid w:val="00541A82"/>
    <w:rsid w:val="00544D9C"/>
    <w:rsid w:val="00550A3E"/>
    <w:rsid w:val="00552371"/>
    <w:rsid w:val="00553B91"/>
    <w:rsid w:val="005647F8"/>
    <w:rsid w:val="00567418"/>
    <w:rsid w:val="00574174"/>
    <w:rsid w:val="00576C2E"/>
    <w:rsid w:val="00576CEA"/>
    <w:rsid w:val="00585F6D"/>
    <w:rsid w:val="005943E5"/>
    <w:rsid w:val="00596F5C"/>
    <w:rsid w:val="005A1CDD"/>
    <w:rsid w:val="005A71AE"/>
    <w:rsid w:val="005A741C"/>
    <w:rsid w:val="005B42A9"/>
    <w:rsid w:val="005C0738"/>
    <w:rsid w:val="005C39D9"/>
    <w:rsid w:val="005C5D4F"/>
    <w:rsid w:val="005C5D5C"/>
    <w:rsid w:val="005D3F74"/>
    <w:rsid w:val="005E0E65"/>
    <w:rsid w:val="005E288C"/>
    <w:rsid w:val="005E4A1E"/>
    <w:rsid w:val="005F24D9"/>
    <w:rsid w:val="005F5341"/>
    <w:rsid w:val="00600CDA"/>
    <w:rsid w:val="006027C8"/>
    <w:rsid w:val="0060489C"/>
    <w:rsid w:val="00613D00"/>
    <w:rsid w:val="006179B1"/>
    <w:rsid w:val="00617CF3"/>
    <w:rsid w:val="00617ECC"/>
    <w:rsid w:val="00623A4C"/>
    <w:rsid w:val="0063205A"/>
    <w:rsid w:val="00634048"/>
    <w:rsid w:val="006473E9"/>
    <w:rsid w:val="00653EF3"/>
    <w:rsid w:val="00676D9D"/>
    <w:rsid w:val="006824D7"/>
    <w:rsid w:val="00682A03"/>
    <w:rsid w:val="0069180C"/>
    <w:rsid w:val="00693A50"/>
    <w:rsid w:val="0069417E"/>
    <w:rsid w:val="00697A0C"/>
    <w:rsid w:val="006A3954"/>
    <w:rsid w:val="006A512A"/>
    <w:rsid w:val="006B3504"/>
    <w:rsid w:val="006C5344"/>
    <w:rsid w:val="006C60C9"/>
    <w:rsid w:val="006F1DB0"/>
    <w:rsid w:val="006F3A85"/>
    <w:rsid w:val="00705A6B"/>
    <w:rsid w:val="00707186"/>
    <w:rsid w:val="007078B8"/>
    <w:rsid w:val="00720812"/>
    <w:rsid w:val="0072411C"/>
    <w:rsid w:val="007313E1"/>
    <w:rsid w:val="00743BDE"/>
    <w:rsid w:val="007501AC"/>
    <w:rsid w:val="007529EE"/>
    <w:rsid w:val="007675E9"/>
    <w:rsid w:val="00771B4B"/>
    <w:rsid w:val="0077632A"/>
    <w:rsid w:val="0077683E"/>
    <w:rsid w:val="00780DA4"/>
    <w:rsid w:val="0078390C"/>
    <w:rsid w:val="00786EA7"/>
    <w:rsid w:val="00790AD7"/>
    <w:rsid w:val="00795709"/>
    <w:rsid w:val="007A069F"/>
    <w:rsid w:val="007A2F59"/>
    <w:rsid w:val="007A3014"/>
    <w:rsid w:val="007A3BE9"/>
    <w:rsid w:val="007B2582"/>
    <w:rsid w:val="007B5961"/>
    <w:rsid w:val="007B6467"/>
    <w:rsid w:val="007C0387"/>
    <w:rsid w:val="007C1474"/>
    <w:rsid w:val="007C568E"/>
    <w:rsid w:val="007C59D7"/>
    <w:rsid w:val="007D553C"/>
    <w:rsid w:val="007D5BAA"/>
    <w:rsid w:val="007E1949"/>
    <w:rsid w:val="007E77B5"/>
    <w:rsid w:val="007F2FF9"/>
    <w:rsid w:val="007F5740"/>
    <w:rsid w:val="007F6A0E"/>
    <w:rsid w:val="007F76F8"/>
    <w:rsid w:val="00802815"/>
    <w:rsid w:val="0080328F"/>
    <w:rsid w:val="008249EE"/>
    <w:rsid w:val="00827EA8"/>
    <w:rsid w:val="00830C3B"/>
    <w:rsid w:val="00831A24"/>
    <w:rsid w:val="00833E48"/>
    <w:rsid w:val="00833FA2"/>
    <w:rsid w:val="00844F72"/>
    <w:rsid w:val="00851E54"/>
    <w:rsid w:val="00857E8F"/>
    <w:rsid w:val="0086115E"/>
    <w:rsid w:val="00862DBD"/>
    <w:rsid w:val="00863544"/>
    <w:rsid w:val="008657B3"/>
    <w:rsid w:val="0087299F"/>
    <w:rsid w:val="008769F6"/>
    <w:rsid w:val="0087719A"/>
    <w:rsid w:val="00883D31"/>
    <w:rsid w:val="0088529D"/>
    <w:rsid w:val="008974E3"/>
    <w:rsid w:val="008A0A28"/>
    <w:rsid w:val="008A4AAE"/>
    <w:rsid w:val="008A6282"/>
    <w:rsid w:val="008C2813"/>
    <w:rsid w:val="008C397D"/>
    <w:rsid w:val="008C647B"/>
    <w:rsid w:val="008D3034"/>
    <w:rsid w:val="008E3D8F"/>
    <w:rsid w:val="008E4FA1"/>
    <w:rsid w:val="008F3DF9"/>
    <w:rsid w:val="00900706"/>
    <w:rsid w:val="00910520"/>
    <w:rsid w:val="0091203D"/>
    <w:rsid w:val="00923625"/>
    <w:rsid w:val="0092460F"/>
    <w:rsid w:val="0092541C"/>
    <w:rsid w:val="00927C98"/>
    <w:rsid w:val="00933175"/>
    <w:rsid w:val="0093408C"/>
    <w:rsid w:val="00942A2F"/>
    <w:rsid w:val="0095098E"/>
    <w:rsid w:val="00953697"/>
    <w:rsid w:val="00953994"/>
    <w:rsid w:val="00957509"/>
    <w:rsid w:val="00963D85"/>
    <w:rsid w:val="00977365"/>
    <w:rsid w:val="00980953"/>
    <w:rsid w:val="00985D52"/>
    <w:rsid w:val="009876DF"/>
    <w:rsid w:val="009A0D9F"/>
    <w:rsid w:val="009B6FE9"/>
    <w:rsid w:val="009C6B21"/>
    <w:rsid w:val="009D50AC"/>
    <w:rsid w:val="009D5F5F"/>
    <w:rsid w:val="009E34F4"/>
    <w:rsid w:val="009E3F56"/>
    <w:rsid w:val="00A06535"/>
    <w:rsid w:val="00A106FD"/>
    <w:rsid w:val="00A10856"/>
    <w:rsid w:val="00A120A9"/>
    <w:rsid w:val="00A25D7D"/>
    <w:rsid w:val="00A30B82"/>
    <w:rsid w:val="00A31ED6"/>
    <w:rsid w:val="00A3568F"/>
    <w:rsid w:val="00A40C8E"/>
    <w:rsid w:val="00A4105D"/>
    <w:rsid w:val="00A44288"/>
    <w:rsid w:val="00A51DB7"/>
    <w:rsid w:val="00A520E6"/>
    <w:rsid w:val="00A52FFA"/>
    <w:rsid w:val="00A5716B"/>
    <w:rsid w:val="00A72589"/>
    <w:rsid w:val="00A7273E"/>
    <w:rsid w:val="00A7290B"/>
    <w:rsid w:val="00A846FA"/>
    <w:rsid w:val="00A8501D"/>
    <w:rsid w:val="00A85A7D"/>
    <w:rsid w:val="00A87657"/>
    <w:rsid w:val="00AA75E8"/>
    <w:rsid w:val="00AB57E2"/>
    <w:rsid w:val="00AC1833"/>
    <w:rsid w:val="00AC3B94"/>
    <w:rsid w:val="00AC5C09"/>
    <w:rsid w:val="00AC73CF"/>
    <w:rsid w:val="00AD78D0"/>
    <w:rsid w:val="00AD7FC5"/>
    <w:rsid w:val="00AE3511"/>
    <w:rsid w:val="00AF09E6"/>
    <w:rsid w:val="00AF0A8F"/>
    <w:rsid w:val="00AF4AFE"/>
    <w:rsid w:val="00B0191C"/>
    <w:rsid w:val="00B05921"/>
    <w:rsid w:val="00B10725"/>
    <w:rsid w:val="00B329ED"/>
    <w:rsid w:val="00B7220B"/>
    <w:rsid w:val="00B9091A"/>
    <w:rsid w:val="00BA04C0"/>
    <w:rsid w:val="00BA0B5A"/>
    <w:rsid w:val="00BA39F6"/>
    <w:rsid w:val="00BA4498"/>
    <w:rsid w:val="00BA521E"/>
    <w:rsid w:val="00BA73AF"/>
    <w:rsid w:val="00BB0FC5"/>
    <w:rsid w:val="00BB240D"/>
    <w:rsid w:val="00BB5279"/>
    <w:rsid w:val="00BC583E"/>
    <w:rsid w:val="00BC6C20"/>
    <w:rsid w:val="00BD2608"/>
    <w:rsid w:val="00BD6ACD"/>
    <w:rsid w:val="00BE1554"/>
    <w:rsid w:val="00BF2E5D"/>
    <w:rsid w:val="00BF5EC0"/>
    <w:rsid w:val="00BF7EBB"/>
    <w:rsid w:val="00C0646C"/>
    <w:rsid w:val="00C11CC8"/>
    <w:rsid w:val="00C13C4B"/>
    <w:rsid w:val="00C16DC4"/>
    <w:rsid w:val="00C3444A"/>
    <w:rsid w:val="00C57119"/>
    <w:rsid w:val="00C57430"/>
    <w:rsid w:val="00C65F61"/>
    <w:rsid w:val="00C6799C"/>
    <w:rsid w:val="00C81151"/>
    <w:rsid w:val="00C91A40"/>
    <w:rsid w:val="00C94AAE"/>
    <w:rsid w:val="00C97C65"/>
    <w:rsid w:val="00CA0CB4"/>
    <w:rsid w:val="00CA1A10"/>
    <w:rsid w:val="00CA2062"/>
    <w:rsid w:val="00CA5309"/>
    <w:rsid w:val="00CC0301"/>
    <w:rsid w:val="00CC4EEB"/>
    <w:rsid w:val="00CD4D93"/>
    <w:rsid w:val="00CD7E72"/>
    <w:rsid w:val="00CE1DCF"/>
    <w:rsid w:val="00CE2192"/>
    <w:rsid w:val="00CE69D3"/>
    <w:rsid w:val="00CE73B0"/>
    <w:rsid w:val="00CF427A"/>
    <w:rsid w:val="00CF5497"/>
    <w:rsid w:val="00CF7A5F"/>
    <w:rsid w:val="00D010CC"/>
    <w:rsid w:val="00D02922"/>
    <w:rsid w:val="00D10152"/>
    <w:rsid w:val="00D251DD"/>
    <w:rsid w:val="00D25211"/>
    <w:rsid w:val="00D253EF"/>
    <w:rsid w:val="00D31A5E"/>
    <w:rsid w:val="00D33BF6"/>
    <w:rsid w:val="00D34551"/>
    <w:rsid w:val="00D35267"/>
    <w:rsid w:val="00D364BE"/>
    <w:rsid w:val="00D5795B"/>
    <w:rsid w:val="00D71A81"/>
    <w:rsid w:val="00D71EDB"/>
    <w:rsid w:val="00D73F59"/>
    <w:rsid w:val="00D80D10"/>
    <w:rsid w:val="00D87226"/>
    <w:rsid w:val="00D90CA2"/>
    <w:rsid w:val="00D91954"/>
    <w:rsid w:val="00D97CF5"/>
    <w:rsid w:val="00DB0A1E"/>
    <w:rsid w:val="00DB0E1B"/>
    <w:rsid w:val="00DB6BEB"/>
    <w:rsid w:val="00DC04B4"/>
    <w:rsid w:val="00DC0AD4"/>
    <w:rsid w:val="00DC5120"/>
    <w:rsid w:val="00DD1CEF"/>
    <w:rsid w:val="00DD3B48"/>
    <w:rsid w:val="00DE43C5"/>
    <w:rsid w:val="00DF1008"/>
    <w:rsid w:val="00DF1101"/>
    <w:rsid w:val="00DF1666"/>
    <w:rsid w:val="00DF5CC1"/>
    <w:rsid w:val="00E164C7"/>
    <w:rsid w:val="00E223C3"/>
    <w:rsid w:val="00E235E5"/>
    <w:rsid w:val="00E27FED"/>
    <w:rsid w:val="00E36763"/>
    <w:rsid w:val="00E43C65"/>
    <w:rsid w:val="00E4707B"/>
    <w:rsid w:val="00E50F94"/>
    <w:rsid w:val="00E52046"/>
    <w:rsid w:val="00E52E7E"/>
    <w:rsid w:val="00E545C2"/>
    <w:rsid w:val="00E62840"/>
    <w:rsid w:val="00E67FCE"/>
    <w:rsid w:val="00E82458"/>
    <w:rsid w:val="00E8339D"/>
    <w:rsid w:val="00E96A4F"/>
    <w:rsid w:val="00EA3251"/>
    <w:rsid w:val="00EB1DF3"/>
    <w:rsid w:val="00EB3AFB"/>
    <w:rsid w:val="00EC563C"/>
    <w:rsid w:val="00ED1F9B"/>
    <w:rsid w:val="00ED2D87"/>
    <w:rsid w:val="00ED3608"/>
    <w:rsid w:val="00ED4366"/>
    <w:rsid w:val="00ED455F"/>
    <w:rsid w:val="00ED461A"/>
    <w:rsid w:val="00EE1AFA"/>
    <w:rsid w:val="00EF1787"/>
    <w:rsid w:val="00EF5EC7"/>
    <w:rsid w:val="00F019B6"/>
    <w:rsid w:val="00F11E5D"/>
    <w:rsid w:val="00F1357C"/>
    <w:rsid w:val="00F2555D"/>
    <w:rsid w:val="00F2595A"/>
    <w:rsid w:val="00F32CB7"/>
    <w:rsid w:val="00F34D69"/>
    <w:rsid w:val="00F41398"/>
    <w:rsid w:val="00F45B21"/>
    <w:rsid w:val="00F5668A"/>
    <w:rsid w:val="00F56E59"/>
    <w:rsid w:val="00F600B7"/>
    <w:rsid w:val="00F6176E"/>
    <w:rsid w:val="00F91CD9"/>
    <w:rsid w:val="00F93D9B"/>
    <w:rsid w:val="00F94158"/>
    <w:rsid w:val="00FA0040"/>
    <w:rsid w:val="00FA3E61"/>
    <w:rsid w:val="00FA3F7D"/>
    <w:rsid w:val="00FB5C38"/>
    <w:rsid w:val="00FE6C18"/>
    <w:rsid w:val="00FF0CBC"/>
    <w:rsid w:val="00FF18B3"/>
    <w:rsid w:val="00FF7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C92233"/>
  <w14:defaultImageDpi w14:val="32767"/>
  <w15:chartTrackingRefBased/>
  <w15:docId w15:val="{7788C0AE-78C1-2942-A48D-81C827C19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Arial"/>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2582"/>
    <w:pPr>
      <w:ind w:left="720"/>
      <w:contextualSpacing/>
    </w:pPr>
  </w:style>
  <w:style w:type="paragraph" w:styleId="CommentText">
    <w:name w:val="annotation text"/>
    <w:basedOn w:val="Normal"/>
    <w:link w:val="CommentTextChar"/>
    <w:uiPriority w:val="99"/>
    <w:semiHidden/>
    <w:unhideWhenUsed/>
    <w:rsid w:val="009E3F56"/>
    <w:rPr>
      <w:rFonts w:eastAsia="Times New Roman" w:cs="Times New Roman"/>
      <w:sz w:val="20"/>
      <w:szCs w:val="20"/>
      <w:lang w:val="en"/>
    </w:rPr>
  </w:style>
  <w:style w:type="character" w:customStyle="1" w:styleId="CommentTextChar">
    <w:name w:val="Comment Text Char"/>
    <w:basedOn w:val="DefaultParagraphFont"/>
    <w:link w:val="CommentText"/>
    <w:uiPriority w:val="99"/>
    <w:semiHidden/>
    <w:rsid w:val="009E3F56"/>
    <w:rPr>
      <w:rFonts w:eastAsia="Times New Roman" w:cs="Times New Roman"/>
      <w:sz w:val="20"/>
      <w:szCs w:val="20"/>
      <w:lang w:val="en"/>
    </w:rPr>
  </w:style>
  <w:style w:type="character" w:styleId="CommentReference">
    <w:name w:val="annotation reference"/>
    <w:basedOn w:val="DefaultParagraphFont"/>
    <w:uiPriority w:val="99"/>
    <w:semiHidden/>
    <w:unhideWhenUsed/>
    <w:rsid w:val="009E3F56"/>
    <w:rPr>
      <w:sz w:val="16"/>
      <w:szCs w:val="16"/>
    </w:rPr>
  </w:style>
  <w:style w:type="paragraph" w:styleId="BalloonText">
    <w:name w:val="Balloon Text"/>
    <w:basedOn w:val="Normal"/>
    <w:link w:val="BalloonTextChar"/>
    <w:uiPriority w:val="99"/>
    <w:semiHidden/>
    <w:unhideWhenUsed/>
    <w:rsid w:val="009E3F56"/>
    <w:rPr>
      <w:rFonts w:cs="Times New Roman"/>
      <w:sz w:val="18"/>
      <w:szCs w:val="18"/>
    </w:rPr>
  </w:style>
  <w:style w:type="character" w:customStyle="1" w:styleId="BalloonTextChar">
    <w:name w:val="Balloon Text Char"/>
    <w:basedOn w:val="DefaultParagraphFont"/>
    <w:link w:val="BalloonText"/>
    <w:uiPriority w:val="99"/>
    <w:semiHidden/>
    <w:rsid w:val="009E3F56"/>
    <w:rPr>
      <w:rFonts w:cs="Times New Roman"/>
      <w:sz w:val="18"/>
      <w:szCs w:val="18"/>
    </w:rPr>
  </w:style>
  <w:style w:type="paragraph" w:styleId="Bibliography">
    <w:name w:val="Bibliography"/>
    <w:basedOn w:val="Normal"/>
    <w:next w:val="Normal"/>
    <w:uiPriority w:val="37"/>
    <w:unhideWhenUsed/>
    <w:rsid w:val="00D73F59"/>
    <w:pPr>
      <w:tabs>
        <w:tab w:val="left" w:pos="380"/>
      </w:tabs>
      <w:spacing w:line="480" w:lineRule="auto"/>
      <w:ind w:left="720" w:hanging="720"/>
    </w:pPr>
  </w:style>
  <w:style w:type="character" w:styleId="Hyperlink">
    <w:name w:val="Hyperlink"/>
    <w:basedOn w:val="DefaultParagraphFont"/>
    <w:uiPriority w:val="99"/>
    <w:unhideWhenUsed/>
    <w:rsid w:val="00653EF3"/>
    <w:rPr>
      <w:color w:val="0563C1" w:themeColor="hyperlink"/>
      <w:u w:val="single"/>
    </w:rPr>
  </w:style>
  <w:style w:type="character" w:styleId="UnresolvedMention">
    <w:name w:val="Unresolved Mention"/>
    <w:basedOn w:val="DefaultParagraphFont"/>
    <w:uiPriority w:val="99"/>
    <w:rsid w:val="00653EF3"/>
    <w:rPr>
      <w:color w:val="605E5C"/>
      <w:shd w:val="clear" w:color="auto" w:fill="E1DFDD"/>
    </w:rPr>
  </w:style>
  <w:style w:type="paragraph" w:styleId="Revision">
    <w:name w:val="Revision"/>
    <w:hidden/>
    <w:uiPriority w:val="99"/>
    <w:semiHidden/>
    <w:rsid w:val="00ED1F9B"/>
  </w:style>
  <w:style w:type="paragraph" w:styleId="CommentSubject">
    <w:name w:val="annotation subject"/>
    <w:basedOn w:val="CommentText"/>
    <w:next w:val="CommentText"/>
    <w:link w:val="CommentSubjectChar"/>
    <w:uiPriority w:val="99"/>
    <w:semiHidden/>
    <w:unhideWhenUsed/>
    <w:rsid w:val="004A66C7"/>
    <w:rPr>
      <w:rFonts w:eastAsiaTheme="minorHAnsi" w:cs="Arial"/>
      <w:b/>
      <w:bCs/>
      <w:lang w:val="en-US"/>
    </w:rPr>
  </w:style>
  <w:style w:type="character" w:customStyle="1" w:styleId="CommentSubjectChar">
    <w:name w:val="Comment Subject Char"/>
    <w:basedOn w:val="CommentTextChar"/>
    <w:link w:val="CommentSubject"/>
    <w:uiPriority w:val="99"/>
    <w:semiHidden/>
    <w:rsid w:val="004A66C7"/>
    <w:rPr>
      <w:rFonts w:eastAsia="Times New Roman" w:cs="Times New Roman"/>
      <w:b/>
      <w:bCs/>
      <w:sz w:val="20"/>
      <w:szCs w:val="20"/>
      <w:lang w:val="en"/>
    </w:rPr>
  </w:style>
  <w:style w:type="character" w:styleId="FollowedHyperlink">
    <w:name w:val="FollowedHyperlink"/>
    <w:basedOn w:val="DefaultParagraphFont"/>
    <w:uiPriority w:val="99"/>
    <w:semiHidden/>
    <w:unhideWhenUsed/>
    <w:rsid w:val="00304F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70475">
      <w:bodyDiv w:val="1"/>
      <w:marLeft w:val="0"/>
      <w:marRight w:val="0"/>
      <w:marTop w:val="0"/>
      <w:marBottom w:val="0"/>
      <w:divBdr>
        <w:top w:val="none" w:sz="0" w:space="0" w:color="auto"/>
        <w:left w:val="none" w:sz="0" w:space="0" w:color="auto"/>
        <w:bottom w:val="none" w:sz="0" w:space="0" w:color="auto"/>
        <w:right w:val="none" w:sz="0" w:space="0" w:color="auto"/>
      </w:divBdr>
    </w:div>
    <w:div w:id="129245910">
      <w:bodyDiv w:val="1"/>
      <w:marLeft w:val="0"/>
      <w:marRight w:val="0"/>
      <w:marTop w:val="0"/>
      <w:marBottom w:val="0"/>
      <w:divBdr>
        <w:top w:val="none" w:sz="0" w:space="0" w:color="auto"/>
        <w:left w:val="none" w:sz="0" w:space="0" w:color="auto"/>
        <w:bottom w:val="none" w:sz="0" w:space="0" w:color="auto"/>
        <w:right w:val="none" w:sz="0" w:space="0" w:color="auto"/>
      </w:divBdr>
    </w:div>
    <w:div w:id="144008414">
      <w:bodyDiv w:val="1"/>
      <w:marLeft w:val="0"/>
      <w:marRight w:val="0"/>
      <w:marTop w:val="0"/>
      <w:marBottom w:val="0"/>
      <w:divBdr>
        <w:top w:val="none" w:sz="0" w:space="0" w:color="auto"/>
        <w:left w:val="none" w:sz="0" w:space="0" w:color="auto"/>
        <w:bottom w:val="none" w:sz="0" w:space="0" w:color="auto"/>
        <w:right w:val="none" w:sz="0" w:space="0" w:color="auto"/>
      </w:divBdr>
    </w:div>
    <w:div w:id="234559936">
      <w:bodyDiv w:val="1"/>
      <w:marLeft w:val="0"/>
      <w:marRight w:val="0"/>
      <w:marTop w:val="0"/>
      <w:marBottom w:val="0"/>
      <w:divBdr>
        <w:top w:val="none" w:sz="0" w:space="0" w:color="auto"/>
        <w:left w:val="none" w:sz="0" w:space="0" w:color="auto"/>
        <w:bottom w:val="none" w:sz="0" w:space="0" w:color="auto"/>
        <w:right w:val="none" w:sz="0" w:space="0" w:color="auto"/>
      </w:divBdr>
    </w:div>
    <w:div w:id="277837720">
      <w:bodyDiv w:val="1"/>
      <w:marLeft w:val="0"/>
      <w:marRight w:val="0"/>
      <w:marTop w:val="0"/>
      <w:marBottom w:val="0"/>
      <w:divBdr>
        <w:top w:val="none" w:sz="0" w:space="0" w:color="auto"/>
        <w:left w:val="none" w:sz="0" w:space="0" w:color="auto"/>
        <w:bottom w:val="none" w:sz="0" w:space="0" w:color="auto"/>
        <w:right w:val="none" w:sz="0" w:space="0" w:color="auto"/>
      </w:divBdr>
    </w:div>
    <w:div w:id="312803998">
      <w:bodyDiv w:val="1"/>
      <w:marLeft w:val="0"/>
      <w:marRight w:val="0"/>
      <w:marTop w:val="0"/>
      <w:marBottom w:val="0"/>
      <w:divBdr>
        <w:top w:val="none" w:sz="0" w:space="0" w:color="auto"/>
        <w:left w:val="none" w:sz="0" w:space="0" w:color="auto"/>
        <w:bottom w:val="none" w:sz="0" w:space="0" w:color="auto"/>
        <w:right w:val="none" w:sz="0" w:space="0" w:color="auto"/>
      </w:divBdr>
    </w:div>
    <w:div w:id="329912170">
      <w:bodyDiv w:val="1"/>
      <w:marLeft w:val="0"/>
      <w:marRight w:val="0"/>
      <w:marTop w:val="0"/>
      <w:marBottom w:val="0"/>
      <w:divBdr>
        <w:top w:val="none" w:sz="0" w:space="0" w:color="auto"/>
        <w:left w:val="none" w:sz="0" w:space="0" w:color="auto"/>
        <w:bottom w:val="none" w:sz="0" w:space="0" w:color="auto"/>
        <w:right w:val="none" w:sz="0" w:space="0" w:color="auto"/>
      </w:divBdr>
    </w:div>
    <w:div w:id="347757161">
      <w:bodyDiv w:val="1"/>
      <w:marLeft w:val="0"/>
      <w:marRight w:val="0"/>
      <w:marTop w:val="0"/>
      <w:marBottom w:val="0"/>
      <w:divBdr>
        <w:top w:val="none" w:sz="0" w:space="0" w:color="auto"/>
        <w:left w:val="none" w:sz="0" w:space="0" w:color="auto"/>
        <w:bottom w:val="none" w:sz="0" w:space="0" w:color="auto"/>
        <w:right w:val="none" w:sz="0" w:space="0" w:color="auto"/>
      </w:divBdr>
    </w:div>
    <w:div w:id="903025522">
      <w:bodyDiv w:val="1"/>
      <w:marLeft w:val="0"/>
      <w:marRight w:val="0"/>
      <w:marTop w:val="0"/>
      <w:marBottom w:val="0"/>
      <w:divBdr>
        <w:top w:val="none" w:sz="0" w:space="0" w:color="auto"/>
        <w:left w:val="none" w:sz="0" w:space="0" w:color="auto"/>
        <w:bottom w:val="none" w:sz="0" w:space="0" w:color="auto"/>
        <w:right w:val="none" w:sz="0" w:space="0" w:color="auto"/>
      </w:divBdr>
    </w:div>
    <w:div w:id="1023434687">
      <w:bodyDiv w:val="1"/>
      <w:marLeft w:val="0"/>
      <w:marRight w:val="0"/>
      <w:marTop w:val="0"/>
      <w:marBottom w:val="0"/>
      <w:divBdr>
        <w:top w:val="none" w:sz="0" w:space="0" w:color="auto"/>
        <w:left w:val="none" w:sz="0" w:space="0" w:color="auto"/>
        <w:bottom w:val="none" w:sz="0" w:space="0" w:color="auto"/>
        <w:right w:val="none" w:sz="0" w:space="0" w:color="auto"/>
      </w:divBdr>
    </w:div>
    <w:div w:id="1031734413">
      <w:bodyDiv w:val="1"/>
      <w:marLeft w:val="0"/>
      <w:marRight w:val="0"/>
      <w:marTop w:val="0"/>
      <w:marBottom w:val="0"/>
      <w:divBdr>
        <w:top w:val="none" w:sz="0" w:space="0" w:color="auto"/>
        <w:left w:val="none" w:sz="0" w:space="0" w:color="auto"/>
        <w:bottom w:val="none" w:sz="0" w:space="0" w:color="auto"/>
        <w:right w:val="none" w:sz="0" w:space="0" w:color="auto"/>
      </w:divBdr>
    </w:div>
    <w:div w:id="1149901179">
      <w:bodyDiv w:val="1"/>
      <w:marLeft w:val="0"/>
      <w:marRight w:val="0"/>
      <w:marTop w:val="0"/>
      <w:marBottom w:val="0"/>
      <w:divBdr>
        <w:top w:val="none" w:sz="0" w:space="0" w:color="auto"/>
        <w:left w:val="none" w:sz="0" w:space="0" w:color="auto"/>
        <w:bottom w:val="none" w:sz="0" w:space="0" w:color="auto"/>
        <w:right w:val="none" w:sz="0" w:space="0" w:color="auto"/>
      </w:divBdr>
    </w:div>
    <w:div w:id="1209685269">
      <w:bodyDiv w:val="1"/>
      <w:marLeft w:val="0"/>
      <w:marRight w:val="0"/>
      <w:marTop w:val="0"/>
      <w:marBottom w:val="0"/>
      <w:divBdr>
        <w:top w:val="none" w:sz="0" w:space="0" w:color="auto"/>
        <w:left w:val="none" w:sz="0" w:space="0" w:color="auto"/>
        <w:bottom w:val="none" w:sz="0" w:space="0" w:color="auto"/>
        <w:right w:val="none" w:sz="0" w:space="0" w:color="auto"/>
      </w:divBdr>
    </w:div>
    <w:div w:id="1422681819">
      <w:bodyDiv w:val="1"/>
      <w:marLeft w:val="0"/>
      <w:marRight w:val="0"/>
      <w:marTop w:val="0"/>
      <w:marBottom w:val="0"/>
      <w:divBdr>
        <w:top w:val="none" w:sz="0" w:space="0" w:color="auto"/>
        <w:left w:val="none" w:sz="0" w:space="0" w:color="auto"/>
        <w:bottom w:val="none" w:sz="0" w:space="0" w:color="auto"/>
        <w:right w:val="none" w:sz="0" w:space="0" w:color="auto"/>
      </w:divBdr>
    </w:div>
    <w:div w:id="1682967172">
      <w:bodyDiv w:val="1"/>
      <w:marLeft w:val="0"/>
      <w:marRight w:val="0"/>
      <w:marTop w:val="0"/>
      <w:marBottom w:val="0"/>
      <w:divBdr>
        <w:top w:val="none" w:sz="0" w:space="0" w:color="auto"/>
        <w:left w:val="none" w:sz="0" w:space="0" w:color="auto"/>
        <w:bottom w:val="none" w:sz="0" w:space="0" w:color="auto"/>
        <w:right w:val="none" w:sz="0" w:space="0" w:color="auto"/>
      </w:divBdr>
    </w:div>
    <w:div w:id="1978953882">
      <w:bodyDiv w:val="1"/>
      <w:marLeft w:val="0"/>
      <w:marRight w:val="0"/>
      <w:marTop w:val="0"/>
      <w:marBottom w:val="0"/>
      <w:divBdr>
        <w:top w:val="none" w:sz="0" w:space="0" w:color="auto"/>
        <w:left w:val="none" w:sz="0" w:space="0" w:color="auto"/>
        <w:bottom w:val="none" w:sz="0" w:space="0" w:color="auto"/>
        <w:right w:val="none" w:sz="0" w:space="0" w:color="auto"/>
      </w:divBdr>
    </w:div>
    <w:div w:id="210098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5" Type="http://schemas.microsoft.com/office/2018/08/relationships/commentsExtensible" Target="commentsExtensible.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28</Pages>
  <Words>30917</Words>
  <Characters>176232</Characters>
  <Application>Microsoft Office Word</Application>
  <DocSecurity>0</DocSecurity>
  <Lines>1468</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Atherton</dc:creator>
  <cp:keywords/>
  <dc:description/>
  <cp:lastModifiedBy>Kathryn Atherton</cp:lastModifiedBy>
  <cp:revision>7</cp:revision>
  <dcterms:created xsi:type="dcterms:W3CDTF">2025-08-05T21:07:00Z</dcterms:created>
  <dcterms:modified xsi:type="dcterms:W3CDTF">2025-08-06T15:11:00Z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id="cYg8O0NB"/&gt;&lt;style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