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7571" w14:textId="1BA6E459" w:rsidR="007C2AA4" w:rsidRDefault="00EA29F9" w:rsidP="00EA29F9">
      <w:pPr>
        <w:jc w:val="center"/>
        <w:rPr>
          <w:color w:val="007394"/>
          <w:spacing w:val="-10"/>
          <w:sz w:val="32"/>
          <w:szCs w:val="32"/>
        </w:rPr>
      </w:pPr>
      <w:r w:rsidRPr="005E43C8">
        <w:rPr>
          <w:color w:val="007394"/>
          <w:spacing w:val="-10"/>
          <w:sz w:val="32"/>
          <w:szCs w:val="32"/>
        </w:rPr>
        <w:t>Modified library preparation with l</w:t>
      </w:r>
      <w:r w:rsidRPr="005E43C8">
        <w:rPr>
          <w:color w:val="007394"/>
          <w:spacing w:val="-10"/>
          <w:sz w:val="32"/>
          <w:szCs w:val="32"/>
        </w:rPr>
        <w:t xml:space="preserve">igation sequencing </w:t>
      </w:r>
      <w:r w:rsidRPr="005E43C8">
        <w:rPr>
          <w:color w:val="007394"/>
          <w:spacing w:val="-10"/>
          <w:sz w:val="32"/>
          <w:szCs w:val="32"/>
        </w:rPr>
        <w:t xml:space="preserve">kit </w:t>
      </w:r>
      <w:r w:rsidRPr="005E43C8">
        <w:rPr>
          <w:color w:val="007394"/>
          <w:spacing w:val="-10"/>
          <w:sz w:val="32"/>
          <w:szCs w:val="32"/>
        </w:rPr>
        <w:t xml:space="preserve">DNA V14 (SQK- </w:t>
      </w:r>
      <w:r w:rsidRPr="00EA29F9">
        <w:rPr>
          <w:color w:val="007394"/>
          <w:spacing w:val="-10"/>
          <w:sz w:val="32"/>
          <w:szCs w:val="32"/>
        </w:rPr>
        <w:t>LSK114</w:t>
      </w:r>
      <w:r w:rsidRPr="00EA29F9">
        <w:rPr>
          <w:color w:val="007394"/>
          <w:spacing w:val="-10"/>
          <w:sz w:val="32"/>
          <w:szCs w:val="32"/>
        </w:rPr>
        <w:t>)</w:t>
      </w:r>
      <w:r>
        <w:rPr>
          <w:color w:val="007394"/>
          <w:spacing w:val="-10"/>
          <w:sz w:val="32"/>
          <w:szCs w:val="32"/>
        </w:rPr>
        <w:t xml:space="preserve"> from Oxford Nanopore</w:t>
      </w:r>
    </w:p>
    <w:p w14:paraId="5ADDEE27" w14:textId="77777777" w:rsidR="00EA29F9" w:rsidRDefault="00EA29F9" w:rsidP="00EA29F9">
      <w:pPr>
        <w:jc w:val="center"/>
        <w:rPr>
          <w:color w:val="007394"/>
          <w:spacing w:val="-10"/>
          <w:sz w:val="32"/>
          <w:szCs w:val="32"/>
        </w:rPr>
      </w:pPr>
    </w:p>
    <w:p w14:paraId="53EFC7CA" w14:textId="5F37EFC8" w:rsidR="006B24B1" w:rsidRDefault="00A7752E" w:rsidP="00EA29F9">
      <w:r w:rsidRPr="0027047D">
        <w:t xml:space="preserve">This protocol describes </w:t>
      </w:r>
      <w:r w:rsidR="00290FB2" w:rsidRPr="0027047D">
        <w:t xml:space="preserve">the library preparation procedure </w:t>
      </w:r>
      <w:r w:rsidR="00741764" w:rsidRPr="0027047D">
        <w:t xml:space="preserve">for Oxford Nanopore </w:t>
      </w:r>
      <w:proofErr w:type="gramStart"/>
      <w:r w:rsidR="00741764" w:rsidRPr="0027047D">
        <w:t xml:space="preserve">sequencing </w:t>
      </w:r>
      <w:r w:rsidR="0027047D">
        <w:t>of</w:t>
      </w:r>
      <w:proofErr w:type="gramEnd"/>
      <w:r w:rsidR="0027047D">
        <w:t xml:space="preserve"> DNA samples </w:t>
      </w:r>
      <w:r w:rsidR="00741764" w:rsidRPr="0027047D">
        <w:t xml:space="preserve">on a </w:t>
      </w:r>
      <w:proofErr w:type="spellStart"/>
      <w:r w:rsidR="00741764" w:rsidRPr="0027047D">
        <w:t>Promethion</w:t>
      </w:r>
      <w:proofErr w:type="spellEnd"/>
      <w:r w:rsidR="00741764" w:rsidRPr="0027047D">
        <w:t xml:space="preserve"> device. The DNA input and incubation </w:t>
      </w:r>
      <w:r w:rsidR="0027047D" w:rsidRPr="0027047D">
        <w:t>conditions</w:t>
      </w:r>
      <w:r w:rsidR="00741764" w:rsidRPr="0027047D">
        <w:t xml:space="preserve"> have been modified</w:t>
      </w:r>
      <w:r w:rsidR="0027047D">
        <w:t xml:space="preserve"> from the standard ONT protocol</w:t>
      </w:r>
      <w:r w:rsidR="00741764" w:rsidRPr="0027047D">
        <w:t xml:space="preserve"> </w:t>
      </w:r>
      <w:r w:rsidR="009F159E" w:rsidRPr="0027047D">
        <w:t>to obtain</w:t>
      </w:r>
      <w:r w:rsidR="007610E2">
        <w:t xml:space="preserve"> </w:t>
      </w:r>
      <w:r w:rsidR="002E0A1A">
        <w:t xml:space="preserve">enough library to </w:t>
      </w:r>
      <w:r w:rsidR="006B24B1">
        <w:t>load and was</w:t>
      </w:r>
      <w:r w:rsidR="009F159E">
        <w:t>h</w:t>
      </w:r>
      <w:r w:rsidR="006B24B1">
        <w:t xml:space="preserve"> one </w:t>
      </w:r>
      <w:proofErr w:type="spellStart"/>
      <w:r w:rsidR="009F159E">
        <w:t>Promethion</w:t>
      </w:r>
      <w:proofErr w:type="spellEnd"/>
      <w:r w:rsidR="009F159E">
        <w:t xml:space="preserve"> </w:t>
      </w:r>
      <w:r w:rsidR="006B24B1">
        <w:t xml:space="preserve">Flow </w:t>
      </w:r>
      <w:r w:rsidR="009F159E">
        <w:t>C</w:t>
      </w:r>
      <w:r w:rsidR="006B24B1">
        <w:t xml:space="preserve">ell 2-3 times to maximize sequencing output. The library is expected to have an </w:t>
      </w:r>
      <w:r w:rsidR="002E0A1A">
        <w:t>N50 around 30kb</w:t>
      </w:r>
      <w:r w:rsidR="006B24B1">
        <w:t>.</w:t>
      </w:r>
    </w:p>
    <w:p w14:paraId="7BCC144A" w14:textId="6B4F1544" w:rsidR="00EA29F9" w:rsidRPr="00EA29F9" w:rsidRDefault="00EA29F9" w:rsidP="00EA29F9">
      <w:pPr>
        <w:rPr>
          <w:lang w:val="es-ES"/>
        </w:rPr>
      </w:pPr>
      <w:r w:rsidRPr="00EA29F9">
        <w:rPr>
          <w:rFonts w:ascii="Arial Black"/>
          <w:spacing w:val="-2"/>
          <w:lang w:val="es-ES"/>
        </w:rPr>
        <w:t xml:space="preserve">Original </w:t>
      </w:r>
      <w:proofErr w:type="spellStart"/>
      <w:r w:rsidRPr="00EA29F9">
        <w:rPr>
          <w:rFonts w:ascii="Arial Black"/>
          <w:spacing w:val="-2"/>
          <w:lang w:val="es-ES"/>
        </w:rPr>
        <w:t>protocol</w:t>
      </w:r>
      <w:proofErr w:type="spellEnd"/>
      <w:r w:rsidRPr="00EA29F9">
        <w:rPr>
          <w:rFonts w:ascii="Arial Black"/>
          <w:spacing w:val="-2"/>
          <w:lang w:val="es-ES"/>
        </w:rPr>
        <w:t>:</w:t>
      </w:r>
      <w:r w:rsidRPr="00EA29F9">
        <w:rPr>
          <w:lang w:val="es-ES"/>
        </w:rPr>
        <w:t xml:space="preserve"> </w:t>
      </w:r>
      <w:hyperlink r:id="rId5" w:history="1">
        <w:r w:rsidRPr="00EA29F9">
          <w:rPr>
            <w:rStyle w:val="Hipervnculo"/>
            <w:lang w:val="es-ES"/>
          </w:rPr>
          <w:t>https://nanoporetech.com/document/genomic-dna-by-ligation-sqk-lsk114?device=PromethION</w:t>
        </w:r>
      </w:hyperlink>
    </w:p>
    <w:p w14:paraId="6D350F21" w14:textId="77777777" w:rsidR="00EA29F9" w:rsidRPr="00EA29F9" w:rsidRDefault="00EA29F9" w:rsidP="00EA29F9">
      <w:pPr>
        <w:jc w:val="center"/>
        <w:rPr>
          <w:lang w:val="es-ES"/>
        </w:rPr>
      </w:pPr>
    </w:p>
    <w:p w14:paraId="2227ED28" w14:textId="2BDF82CB" w:rsidR="00EA29F9" w:rsidRDefault="00EA29F9">
      <w:pPr>
        <w:rPr>
          <w:rFonts w:ascii="Arial Black"/>
          <w:spacing w:val="-2"/>
        </w:rPr>
      </w:pPr>
      <w:r w:rsidRPr="00EA29F9">
        <w:rPr>
          <w:rFonts w:ascii="Arial Black"/>
          <w:spacing w:val="-2"/>
        </w:rPr>
        <w:t>Materials</w:t>
      </w:r>
    </w:p>
    <w:p w14:paraId="197B4831" w14:textId="0DB2A58D" w:rsidR="00EA29F9" w:rsidRDefault="00C01026" w:rsidP="00EA29F9">
      <w:pPr>
        <w:spacing w:after="0"/>
      </w:pPr>
      <w:r>
        <w:t xml:space="preserve">6ug of HMW DNA before size selection; or </w:t>
      </w:r>
      <w:r w:rsidR="00EA29F9">
        <w:t>3-4ug HMW DNA</w:t>
      </w:r>
      <w:r>
        <w:t xml:space="preserve"> into library prep</w:t>
      </w:r>
    </w:p>
    <w:p w14:paraId="1A2B3943" w14:textId="77777777" w:rsidR="00EA29F9" w:rsidRDefault="00EA29F9" w:rsidP="00EA29F9">
      <w:pPr>
        <w:spacing w:after="0" w:line="314" w:lineRule="auto"/>
        <w:ind w:right="82"/>
      </w:pPr>
      <w:proofErr w:type="spellStart"/>
      <w:r w:rsidRPr="00EA29F9">
        <w:t>AMPure</w:t>
      </w:r>
      <w:proofErr w:type="spellEnd"/>
      <w:r w:rsidRPr="00EA29F9">
        <w:t xml:space="preserve"> XP Beads (AXP)</w:t>
      </w:r>
    </w:p>
    <w:p w14:paraId="7BDFC355" w14:textId="77777777" w:rsidR="00EA29F9" w:rsidRDefault="00EA29F9"/>
    <w:p w14:paraId="6CD00692" w14:textId="25ED9CA1" w:rsidR="00C01026" w:rsidRPr="00C01026" w:rsidRDefault="00AA0BD0" w:rsidP="00C01026">
      <w:pPr>
        <w:rPr>
          <w:rFonts w:ascii="Arial Black"/>
          <w:spacing w:val="-2"/>
        </w:rPr>
      </w:pPr>
      <w:r>
        <w:rPr>
          <w:rFonts w:ascii="Arial Black"/>
          <w:spacing w:val="-2"/>
        </w:rPr>
        <w:t>C</w:t>
      </w:r>
      <w:r w:rsidR="00EA29F9" w:rsidRPr="00EA29F9">
        <w:rPr>
          <w:rFonts w:ascii="Arial Black"/>
          <w:spacing w:val="-2"/>
        </w:rPr>
        <w:t>onsumables</w:t>
      </w:r>
    </w:p>
    <w:p w14:paraId="5B626037" w14:textId="0E494F3A" w:rsidR="00C01026" w:rsidRDefault="00C01026" w:rsidP="00EA29F9">
      <w:pPr>
        <w:spacing w:after="0"/>
      </w:pPr>
      <w:r>
        <w:t>Short read eliminator (PacBio</w:t>
      </w:r>
      <w:r w:rsidR="00916FEB">
        <w:t xml:space="preserve"> </w:t>
      </w:r>
      <w:r w:rsidR="00916FEB" w:rsidRPr="00916FEB">
        <w:t>102-208-300</w:t>
      </w:r>
      <w:r>
        <w:t>)</w:t>
      </w:r>
    </w:p>
    <w:p w14:paraId="5D373095" w14:textId="33290DA7" w:rsidR="00E01516" w:rsidRDefault="00E01516" w:rsidP="00EA29F9">
      <w:pPr>
        <w:spacing w:after="0"/>
      </w:pPr>
      <w:r>
        <w:t>Optional: Short Read Eliminator XS (PacBio</w:t>
      </w:r>
      <w:r w:rsidR="001641B1">
        <w:t xml:space="preserve"> </w:t>
      </w:r>
      <w:r w:rsidR="001641B1" w:rsidRPr="001641B1">
        <w:t>102-208-200</w:t>
      </w:r>
      <w:r>
        <w:t>)</w:t>
      </w:r>
    </w:p>
    <w:p w14:paraId="0C89CC58" w14:textId="53CDD2A4" w:rsidR="00014140" w:rsidRDefault="00014140" w:rsidP="00EA29F9">
      <w:pPr>
        <w:spacing w:after="0"/>
      </w:pPr>
      <w:r>
        <w:t>SQK-LSK114 or SQK-LSK114-XL</w:t>
      </w:r>
      <w:r w:rsidR="00C01026">
        <w:t xml:space="preserve"> (Oxford Nanopore)</w:t>
      </w:r>
    </w:p>
    <w:p w14:paraId="07D03348" w14:textId="3164FF70" w:rsidR="005A513F" w:rsidRDefault="005A513F" w:rsidP="00EA29F9">
      <w:pPr>
        <w:spacing w:after="0"/>
      </w:pPr>
      <w:proofErr w:type="spellStart"/>
      <w:r>
        <w:t>Promethion</w:t>
      </w:r>
      <w:proofErr w:type="spellEnd"/>
      <w:r>
        <w:t xml:space="preserve"> R10.4 Flow Cell</w:t>
      </w:r>
      <w:r w:rsidR="00C01026">
        <w:t xml:space="preserve"> </w:t>
      </w:r>
      <w:r w:rsidR="00C01026">
        <w:t>(Oxford Nanopore)</w:t>
      </w:r>
    </w:p>
    <w:p w14:paraId="7E19ABBF" w14:textId="4A85DD5B" w:rsidR="00EA29F9" w:rsidRDefault="00EA29F9" w:rsidP="00EA29F9">
      <w:pPr>
        <w:spacing w:after="0"/>
      </w:pPr>
      <w:proofErr w:type="spellStart"/>
      <w:r w:rsidRPr="00EA29F9">
        <w:t>NEBNext</w:t>
      </w:r>
      <w:proofErr w:type="spellEnd"/>
      <w:r w:rsidRPr="00EA29F9">
        <w:t>® Companion</w:t>
      </w:r>
      <w:r>
        <w:t xml:space="preserve"> </w:t>
      </w:r>
      <w:r w:rsidRPr="00EA29F9">
        <w:t>Module v2 (NEB, E7672S or E7672L)</w:t>
      </w:r>
    </w:p>
    <w:p w14:paraId="17E54495" w14:textId="0BCAC02B" w:rsidR="00EA29F9" w:rsidRDefault="00EA29F9" w:rsidP="00EA29F9">
      <w:pPr>
        <w:spacing w:after="0"/>
      </w:pPr>
      <w:r w:rsidRPr="00EA29F9">
        <w:t>Qubit dsDNA Assay Kit (Invitrogen, Q32851)</w:t>
      </w:r>
    </w:p>
    <w:p w14:paraId="7D8F0971" w14:textId="4E4FEAED" w:rsidR="00EA29F9" w:rsidRDefault="00EA29F9" w:rsidP="00EA29F9">
      <w:pPr>
        <w:spacing w:after="0"/>
      </w:pPr>
      <w:r w:rsidRPr="00EA29F9">
        <w:t>Nuclease-free water</w:t>
      </w:r>
    </w:p>
    <w:p w14:paraId="736A2411" w14:textId="2945F5B2" w:rsidR="00EA29F9" w:rsidRDefault="00EA29F9" w:rsidP="00EA29F9">
      <w:pPr>
        <w:spacing w:after="0"/>
      </w:pPr>
      <w:r w:rsidRPr="00EA29F9">
        <w:t xml:space="preserve">Freshly prepared </w:t>
      </w:r>
      <w:r w:rsidR="003771E1">
        <w:t xml:space="preserve">70% and </w:t>
      </w:r>
      <w:r w:rsidRPr="00EA29F9">
        <w:t>80% ethanol in nuclease-free</w:t>
      </w:r>
      <w:r w:rsidRPr="00EA29F9">
        <w:t xml:space="preserve"> </w:t>
      </w:r>
      <w:r w:rsidRPr="00EA29F9">
        <w:t>water</w:t>
      </w:r>
    </w:p>
    <w:p w14:paraId="49F68F4B" w14:textId="541AFD05" w:rsidR="00EA29F9" w:rsidRDefault="00EA29F9" w:rsidP="00EA29F9">
      <w:pPr>
        <w:spacing w:after="0"/>
      </w:pPr>
      <w:r w:rsidRPr="00EA29F9">
        <w:t>Qubit™ Assay Tubes (Invitrogen, Q32856)</w:t>
      </w:r>
    </w:p>
    <w:p w14:paraId="54078772" w14:textId="2A698953" w:rsidR="00EA29F9" w:rsidRDefault="00EA29F9" w:rsidP="00EA29F9">
      <w:pPr>
        <w:spacing w:after="0"/>
      </w:pPr>
      <w:r w:rsidRPr="00EA29F9">
        <w:t>1</w:t>
      </w:r>
      <w:r w:rsidRPr="00EA29F9">
        <w:t xml:space="preserve">.5 ml Eppendorf DNA </w:t>
      </w:r>
      <w:proofErr w:type="spellStart"/>
      <w:r w:rsidRPr="00EA29F9">
        <w:t>LoBind</w:t>
      </w:r>
      <w:proofErr w:type="spellEnd"/>
      <w:r w:rsidRPr="00EA29F9">
        <w:t xml:space="preserve"> tubes</w:t>
      </w:r>
    </w:p>
    <w:p w14:paraId="46AD32C3" w14:textId="77777777" w:rsidR="00EA29F9" w:rsidRDefault="00EA29F9" w:rsidP="00EA29F9">
      <w:pPr>
        <w:rPr>
          <w:color w:val="455456"/>
          <w:w w:val="105"/>
        </w:rPr>
      </w:pPr>
    </w:p>
    <w:p w14:paraId="61C83378" w14:textId="2AFCDB28" w:rsidR="00EA29F9" w:rsidRDefault="00EA29F9" w:rsidP="00EA29F9">
      <w:pPr>
        <w:rPr>
          <w:rFonts w:ascii="Arial Black"/>
          <w:spacing w:val="-2"/>
        </w:rPr>
      </w:pPr>
      <w:r w:rsidRPr="00EA29F9">
        <w:rPr>
          <w:rFonts w:ascii="Arial Black"/>
          <w:spacing w:val="-2"/>
        </w:rPr>
        <w:t>Equipment</w:t>
      </w:r>
    </w:p>
    <w:p w14:paraId="015830E7" w14:textId="2A4FD68B" w:rsidR="002D50DE" w:rsidRDefault="002D50DE" w:rsidP="00EA29F9">
      <w:pPr>
        <w:spacing w:after="0"/>
      </w:pPr>
      <w:proofErr w:type="spellStart"/>
      <w:r>
        <w:t>Promethion</w:t>
      </w:r>
      <w:proofErr w:type="spellEnd"/>
      <w:r>
        <w:t xml:space="preserve"> device</w:t>
      </w:r>
    </w:p>
    <w:p w14:paraId="66DA3474" w14:textId="2B915435" w:rsidR="00EA29F9" w:rsidRDefault="00EA29F9" w:rsidP="00EA29F9">
      <w:pPr>
        <w:spacing w:after="0"/>
      </w:pPr>
      <w:r w:rsidRPr="00EA29F9">
        <w:t xml:space="preserve">P1000 </w:t>
      </w:r>
      <w:proofErr w:type="gramStart"/>
      <w:r w:rsidRPr="00EA29F9">
        <w:t>pipette</w:t>
      </w:r>
      <w:proofErr w:type="gramEnd"/>
      <w:r w:rsidRPr="00EA29F9">
        <w:t xml:space="preserve"> and tips</w:t>
      </w:r>
    </w:p>
    <w:p w14:paraId="65CD5C4F" w14:textId="77777777" w:rsidR="00EA29F9" w:rsidRDefault="00EA29F9" w:rsidP="00EA29F9">
      <w:pPr>
        <w:spacing w:after="0"/>
      </w:pPr>
      <w:r w:rsidRPr="00EA29F9">
        <w:t xml:space="preserve">P100 </w:t>
      </w:r>
      <w:proofErr w:type="gramStart"/>
      <w:r w:rsidRPr="00EA29F9">
        <w:t>pipette</w:t>
      </w:r>
      <w:proofErr w:type="gramEnd"/>
      <w:r w:rsidRPr="00EA29F9">
        <w:t xml:space="preserve"> and </w:t>
      </w:r>
      <w:proofErr w:type="gramStart"/>
      <w:r w:rsidRPr="00EA29F9">
        <w:t>tips</w:t>
      </w:r>
      <w:proofErr w:type="gramEnd"/>
      <w:r w:rsidRPr="00EA29F9">
        <w:t xml:space="preserve"> </w:t>
      </w:r>
    </w:p>
    <w:p w14:paraId="30F71DC8" w14:textId="133E4CE3" w:rsidR="00014140" w:rsidRPr="00EA29F9" w:rsidRDefault="00014140" w:rsidP="00EA29F9">
      <w:pPr>
        <w:spacing w:after="0"/>
      </w:pPr>
      <w:r w:rsidRPr="00014140">
        <w:lastRenderedPageBreak/>
        <w:t>P20 pipette and tips</w:t>
      </w:r>
    </w:p>
    <w:p w14:paraId="4A7E7FA9" w14:textId="08744394" w:rsidR="00EA29F9" w:rsidRDefault="00EA29F9" w:rsidP="00EA29F9">
      <w:pPr>
        <w:spacing w:after="0"/>
      </w:pPr>
      <w:r w:rsidRPr="00EA29F9">
        <w:t>P10 pipette and tips</w:t>
      </w:r>
    </w:p>
    <w:p w14:paraId="17B12DAD" w14:textId="69F1692F" w:rsidR="00EB2E88" w:rsidRDefault="00EB2E88" w:rsidP="00EA29F9">
      <w:pPr>
        <w:spacing w:after="0"/>
      </w:pPr>
      <w:r w:rsidRPr="00EB2E88">
        <w:t>200 µL Wide Bore Pipette Tips</w:t>
      </w:r>
    </w:p>
    <w:p w14:paraId="24733CC4" w14:textId="4E987C59" w:rsidR="00EB2E88" w:rsidRPr="00EA29F9" w:rsidRDefault="00EB2E88" w:rsidP="00EA29F9">
      <w:pPr>
        <w:spacing w:after="0"/>
      </w:pPr>
      <w:r>
        <w:t>Centrifuge Eppendorf 5425 or similar</w:t>
      </w:r>
    </w:p>
    <w:p w14:paraId="5C1B2FCA" w14:textId="5A31FB31" w:rsidR="00EA29F9" w:rsidRDefault="00EA29F9" w:rsidP="00EA29F9">
      <w:pPr>
        <w:spacing w:after="0"/>
      </w:pPr>
      <w:r w:rsidRPr="00EA29F9">
        <w:t>Microfuge</w:t>
      </w:r>
    </w:p>
    <w:p w14:paraId="276FFAC5" w14:textId="0DF41ADB" w:rsidR="00014140" w:rsidRDefault="00014140" w:rsidP="00EA29F9">
      <w:pPr>
        <w:spacing w:after="0"/>
      </w:pPr>
      <w:r w:rsidRPr="00014140">
        <w:t>Vortex mixer</w:t>
      </w:r>
    </w:p>
    <w:p w14:paraId="1A053692" w14:textId="4610AAC6" w:rsidR="00EA29F9" w:rsidRDefault="00EA29F9" w:rsidP="00EA29F9">
      <w:pPr>
        <w:spacing w:after="0"/>
      </w:pPr>
      <w:r w:rsidRPr="00EA29F9">
        <w:t xml:space="preserve">Thermal </w:t>
      </w:r>
      <w:proofErr w:type="gramStart"/>
      <w:r w:rsidRPr="00EA29F9">
        <w:t>cycler</w:t>
      </w:r>
      <w:proofErr w:type="gramEnd"/>
      <w:r w:rsidRPr="00EA29F9">
        <w:t xml:space="preserve"> or </w:t>
      </w:r>
      <w:r w:rsidR="00EB2E88">
        <w:t>Heat Block</w:t>
      </w:r>
    </w:p>
    <w:p w14:paraId="37C8EA7A" w14:textId="609DD647" w:rsidR="00EA29F9" w:rsidRDefault="00EA29F9" w:rsidP="00EA29F9">
      <w:pPr>
        <w:spacing w:after="0"/>
      </w:pPr>
      <w:r w:rsidRPr="00EA29F9">
        <w:t>Magnetic separation rack</w:t>
      </w:r>
    </w:p>
    <w:p w14:paraId="0743CE5D" w14:textId="52F2E160" w:rsidR="00EA29F9" w:rsidRPr="00EA29F9" w:rsidRDefault="00EA29F9" w:rsidP="00EA29F9">
      <w:pPr>
        <w:spacing w:after="0"/>
      </w:pPr>
      <w:r w:rsidRPr="00EA29F9">
        <w:t>Ice bucket with ice</w:t>
      </w:r>
    </w:p>
    <w:p w14:paraId="5573C8C5" w14:textId="2A07C601" w:rsidR="00EA29F9" w:rsidRDefault="00EA29F9" w:rsidP="00EA29F9">
      <w:pPr>
        <w:spacing w:after="0"/>
      </w:pPr>
      <w:r w:rsidRPr="00EA29F9">
        <w:t>Qubit™ fluorometer (or equivalent for QC check)</w:t>
      </w:r>
    </w:p>
    <w:p w14:paraId="46BC269E" w14:textId="77777777" w:rsidR="00AA0BD0" w:rsidRDefault="00AA0BD0" w:rsidP="00EA29F9">
      <w:pPr>
        <w:spacing w:after="0"/>
      </w:pPr>
    </w:p>
    <w:p w14:paraId="2E54E37B" w14:textId="55A2C343" w:rsidR="005A513F" w:rsidRDefault="005A513F" w:rsidP="00EA29F9">
      <w:pPr>
        <w:rPr>
          <w:rFonts w:ascii="Arial Black"/>
          <w:spacing w:val="-4"/>
        </w:rPr>
      </w:pPr>
      <w:r>
        <w:rPr>
          <w:rFonts w:ascii="Arial Black"/>
          <w:spacing w:val="-4"/>
        </w:rPr>
        <w:t>Size selection</w:t>
      </w:r>
    </w:p>
    <w:p w14:paraId="6FB727AB" w14:textId="0F42007A" w:rsidR="005A513F" w:rsidRDefault="00C01026" w:rsidP="00C01026">
      <w:pPr>
        <w:spacing w:after="0"/>
      </w:pPr>
      <w:r w:rsidRPr="00C01026">
        <w:t xml:space="preserve">Short read </w:t>
      </w:r>
      <w:r w:rsidR="00EB2E88" w:rsidRPr="00C01026">
        <w:t>eliminator</w:t>
      </w:r>
      <w:r w:rsidRPr="00C01026">
        <w:t xml:space="preserve"> (SRE) progressively deplete</w:t>
      </w:r>
      <w:r w:rsidR="00EB2E88">
        <w:t>s</w:t>
      </w:r>
      <w:r w:rsidRPr="00C01026">
        <w:t xml:space="preserve"> fragments up to 25 kb from</w:t>
      </w:r>
      <w:r>
        <w:t xml:space="preserve"> </w:t>
      </w:r>
      <w:r w:rsidRPr="00C01026">
        <w:t xml:space="preserve">genomic DNA samples. </w:t>
      </w:r>
      <w:r>
        <w:t xml:space="preserve">If your </w:t>
      </w:r>
      <w:r w:rsidR="00171BD5">
        <w:t>sample contains</w:t>
      </w:r>
      <w:r w:rsidR="00DF1BC8">
        <w:t xml:space="preserve"> a lot of short fragments</w:t>
      </w:r>
      <w:r>
        <w:t xml:space="preserve">, you can perform SRE XS instead </w:t>
      </w:r>
      <w:r w:rsidR="00DF1BC8">
        <w:t xml:space="preserve">to avoid massive loss of the sample </w:t>
      </w:r>
      <w:r>
        <w:t xml:space="preserve">(depletes up to </w:t>
      </w:r>
      <w:r w:rsidR="00EB2E88">
        <w:t>10</w:t>
      </w:r>
      <w:r>
        <w:t>kb fragments)</w:t>
      </w:r>
      <w:r w:rsidR="00EB2E88">
        <w:t>.</w:t>
      </w:r>
    </w:p>
    <w:p w14:paraId="333B1555" w14:textId="77777777" w:rsidR="00EB2E88" w:rsidRDefault="00EB2E88" w:rsidP="00C01026">
      <w:pPr>
        <w:spacing w:after="0"/>
      </w:pPr>
    </w:p>
    <w:p w14:paraId="52D04FF7" w14:textId="66961E7B" w:rsidR="00EB2E88" w:rsidRDefault="00EB2E88" w:rsidP="00EB2E88">
      <w:pPr>
        <w:pStyle w:val="Prrafodelista"/>
        <w:numPr>
          <w:ilvl w:val="0"/>
          <w:numId w:val="8"/>
        </w:numPr>
        <w:spacing w:after="0"/>
      </w:pPr>
      <w:r>
        <w:t>Prepare 6ug of HMW DNA in nuclease-free water</w:t>
      </w:r>
      <w:r w:rsidR="00E01516">
        <w:t xml:space="preserve">, EB buffer or TE. High levels of </w:t>
      </w:r>
      <w:proofErr w:type="gramStart"/>
      <w:r w:rsidR="00E01516">
        <w:t>salts</w:t>
      </w:r>
      <w:proofErr w:type="gramEnd"/>
      <w:r w:rsidR="00E01516">
        <w:t xml:space="preserve"> will affect the size selection.</w:t>
      </w:r>
    </w:p>
    <w:p w14:paraId="58323D7D" w14:textId="684400AD" w:rsidR="00EB2E88" w:rsidRDefault="00EB2E88" w:rsidP="00EB2E88">
      <w:pPr>
        <w:pStyle w:val="Prrafodelista"/>
        <w:numPr>
          <w:ilvl w:val="0"/>
          <w:numId w:val="8"/>
        </w:numPr>
        <w:spacing w:after="0"/>
      </w:pPr>
      <w:r>
        <w:t>Mix thoroughly the SRE Buffer</w:t>
      </w:r>
      <w:r w:rsidR="003771E1">
        <w:t xml:space="preserve"> by </w:t>
      </w:r>
      <w:proofErr w:type="spellStart"/>
      <w:r w:rsidR="003771E1">
        <w:t>vortexing</w:t>
      </w:r>
      <w:proofErr w:type="spellEnd"/>
      <w:r w:rsidR="00E01516">
        <w:t>.</w:t>
      </w:r>
    </w:p>
    <w:p w14:paraId="00AAC285" w14:textId="08C54EE0" w:rsidR="00C01026" w:rsidRPr="00E01516" w:rsidRDefault="00EB2E88" w:rsidP="00EB2E88">
      <w:pPr>
        <w:pStyle w:val="Prrafodelista"/>
        <w:numPr>
          <w:ilvl w:val="0"/>
          <w:numId w:val="8"/>
        </w:numPr>
        <w:spacing w:after="0"/>
      </w:pPr>
      <w:r w:rsidRPr="00E01516">
        <w:t xml:space="preserve">Add 60 µl of SRE Buffer to each 60 µl of DNA. Mix </w:t>
      </w:r>
      <w:r w:rsidR="003771E1" w:rsidRPr="00E01516">
        <w:t>well by flicking the tube and spin.</w:t>
      </w:r>
    </w:p>
    <w:p w14:paraId="17389E85" w14:textId="2189C26D" w:rsidR="003771E1" w:rsidRPr="00E01516" w:rsidRDefault="003771E1" w:rsidP="00EB2E88">
      <w:pPr>
        <w:pStyle w:val="Prrafodelista"/>
        <w:numPr>
          <w:ilvl w:val="0"/>
          <w:numId w:val="8"/>
        </w:numPr>
        <w:spacing w:after="0"/>
      </w:pPr>
      <w:r w:rsidRPr="00E01516">
        <w:t xml:space="preserve">Centrifuge at 10000 </w:t>
      </w:r>
      <w:proofErr w:type="spellStart"/>
      <w:r w:rsidRPr="00E01516">
        <w:t>xg</w:t>
      </w:r>
      <w:proofErr w:type="spellEnd"/>
      <w:r w:rsidRPr="00E01516">
        <w:t xml:space="preserve"> for 30 min at </w:t>
      </w:r>
      <w:r w:rsidR="00C97828">
        <w:t>room temperature</w:t>
      </w:r>
      <w:r w:rsidR="00E01516" w:rsidRPr="00E01516">
        <w:t>, with the hinge of the tube facing outwards.</w:t>
      </w:r>
    </w:p>
    <w:p w14:paraId="5CC7FDA8" w14:textId="48514496" w:rsidR="00E01516" w:rsidRDefault="00B14589" w:rsidP="00EB2E88">
      <w:pPr>
        <w:pStyle w:val="Prrafodelista"/>
        <w:numPr>
          <w:ilvl w:val="0"/>
          <w:numId w:val="8"/>
        </w:numPr>
        <w:spacing w:after="0"/>
      </w:pPr>
      <w:r>
        <w:t>Immediately r</w:t>
      </w:r>
      <w:r w:rsidR="003771E1">
        <w:t xml:space="preserve">emove the </w:t>
      </w:r>
      <w:proofErr w:type="spellStart"/>
      <w:r w:rsidR="003771E1">
        <w:t>supernantant</w:t>
      </w:r>
      <w:proofErr w:type="spellEnd"/>
      <w:r w:rsidR="00E01516">
        <w:t xml:space="preserve"> carefully</w:t>
      </w:r>
      <w:r>
        <w:t xml:space="preserve"> not to dislodge the pellet</w:t>
      </w:r>
      <w:r w:rsidR="00E01516">
        <w:t>.</w:t>
      </w:r>
    </w:p>
    <w:p w14:paraId="26F4B4CE" w14:textId="77777777" w:rsidR="00E01516" w:rsidRDefault="00E01516" w:rsidP="00E01516">
      <w:pPr>
        <w:pStyle w:val="Prrafodelista"/>
        <w:numPr>
          <w:ilvl w:val="0"/>
          <w:numId w:val="9"/>
        </w:numPr>
        <w:spacing w:after="0"/>
      </w:pPr>
      <w:r>
        <w:t>The pellet might not be visible.</w:t>
      </w:r>
    </w:p>
    <w:p w14:paraId="05455475" w14:textId="6FE7F88C" w:rsidR="00E01516" w:rsidRDefault="00E01516" w:rsidP="00E01516">
      <w:pPr>
        <w:pStyle w:val="Prrafodelista"/>
        <w:numPr>
          <w:ilvl w:val="0"/>
          <w:numId w:val="9"/>
        </w:numPr>
        <w:spacing w:after="0"/>
      </w:pPr>
      <w:r>
        <w:t>Avoid disturbing the pellet by pipetting on the opposite side of the tube.</w:t>
      </w:r>
    </w:p>
    <w:p w14:paraId="11FC656B" w14:textId="77777777" w:rsidR="00E01516" w:rsidRDefault="00E01516" w:rsidP="00E01516">
      <w:pPr>
        <w:pStyle w:val="Prrafodelista"/>
        <w:numPr>
          <w:ilvl w:val="0"/>
          <w:numId w:val="9"/>
        </w:numPr>
        <w:spacing w:after="0"/>
      </w:pPr>
      <w:r>
        <w:t>T</w:t>
      </w:r>
      <w:r>
        <w:t xml:space="preserve">he protocol </w:t>
      </w:r>
      <w:proofErr w:type="gramStart"/>
      <w:r>
        <w:t>allows</w:t>
      </w:r>
      <w:proofErr w:type="gramEnd"/>
      <w:r>
        <w:t xml:space="preserve"> to leave 10ul of </w:t>
      </w:r>
      <w:proofErr w:type="gramStart"/>
      <w:r>
        <w:t>supernatant</w:t>
      </w:r>
      <w:proofErr w:type="gramEnd"/>
      <w:r>
        <w:t xml:space="preserve"> behind</w:t>
      </w:r>
      <w:r>
        <w:t xml:space="preserve">. </w:t>
      </w:r>
    </w:p>
    <w:p w14:paraId="3107036B" w14:textId="083A6C00" w:rsidR="003771E1" w:rsidRDefault="00E01516" w:rsidP="00E01516">
      <w:pPr>
        <w:pStyle w:val="Prrafodelista"/>
        <w:numPr>
          <w:ilvl w:val="0"/>
          <w:numId w:val="9"/>
        </w:numPr>
        <w:spacing w:after="0"/>
      </w:pPr>
      <w:r>
        <w:t>Save the supernatant to repeat the procedure in case a low recovery is expected.</w:t>
      </w:r>
    </w:p>
    <w:p w14:paraId="094D3D26" w14:textId="10C5C187" w:rsidR="003771E1" w:rsidRDefault="003771E1" w:rsidP="00C01026">
      <w:pPr>
        <w:pStyle w:val="Prrafodelista"/>
        <w:numPr>
          <w:ilvl w:val="0"/>
          <w:numId w:val="8"/>
        </w:numPr>
        <w:spacing w:after="0"/>
      </w:pPr>
      <w:r w:rsidRPr="003771E1">
        <w:t>Wash</w:t>
      </w:r>
      <w:r>
        <w:t xml:space="preserve"> the pellet</w:t>
      </w:r>
      <w:r w:rsidRPr="003771E1">
        <w:t xml:space="preserve"> twice with 500 µl of </w:t>
      </w:r>
      <w:r>
        <w:t xml:space="preserve">freshly prepared </w:t>
      </w:r>
      <w:r w:rsidRPr="003771E1">
        <w:t>70 % EtOH (1.5 ml tubes).</w:t>
      </w:r>
      <w:r>
        <w:t xml:space="preserve"> </w:t>
      </w:r>
    </w:p>
    <w:p w14:paraId="2115E4FE" w14:textId="732F8A02" w:rsidR="00C01026" w:rsidRDefault="003771E1" w:rsidP="00C01026">
      <w:pPr>
        <w:pStyle w:val="Prrafodelista"/>
        <w:numPr>
          <w:ilvl w:val="0"/>
          <w:numId w:val="8"/>
        </w:numPr>
        <w:spacing w:after="0"/>
      </w:pPr>
      <w:r w:rsidRPr="00AA0BD0">
        <w:t>Pipette off any residual ethanol</w:t>
      </w:r>
      <w:r>
        <w:t>.</w:t>
      </w:r>
    </w:p>
    <w:p w14:paraId="36A2D90D" w14:textId="77777777" w:rsidR="00B610D8" w:rsidRDefault="003771E1" w:rsidP="00C01026">
      <w:pPr>
        <w:pStyle w:val="Prrafodelista"/>
        <w:numPr>
          <w:ilvl w:val="0"/>
          <w:numId w:val="8"/>
        </w:numPr>
        <w:spacing w:after="0"/>
      </w:pPr>
      <w:r>
        <w:t>Resuspend in 30-50ul of Low TE buffer.</w:t>
      </w:r>
    </w:p>
    <w:p w14:paraId="6B88EF5A" w14:textId="77777777" w:rsidR="00B610D8" w:rsidRDefault="00B610D8" w:rsidP="00B610D8">
      <w:pPr>
        <w:pStyle w:val="Prrafodelista"/>
        <w:numPr>
          <w:ilvl w:val="0"/>
          <w:numId w:val="8"/>
        </w:numPr>
        <w:spacing w:after="0"/>
      </w:pPr>
      <w:r>
        <w:t>If low recovery is expected, repeat the same procedure with the supernatant saved in step 5.</w:t>
      </w:r>
    </w:p>
    <w:p w14:paraId="3FBB1DB7" w14:textId="77777777" w:rsidR="00A3165D" w:rsidRDefault="003771E1" w:rsidP="00C01026">
      <w:pPr>
        <w:pStyle w:val="Prrafodelista"/>
        <w:numPr>
          <w:ilvl w:val="0"/>
          <w:numId w:val="8"/>
        </w:numPr>
        <w:spacing w:after="0"/>
      </w:pPr>
      <w:r>
        <w:t>Allow to resuspend overnight at room temperature or at 4ºC.</w:t>
      </w:r>
    </w:p>
    <w:p w14:paraId="6440D7B6" w14:textId="6933EAE2" w:rsidR="003771E1" w:rsidRDefault="00674BA7" w:rsidP="00A3165D">
      <w:pPr>
        <w:pStyle w:val="Prrafodelista"/>
        <w:numPr>
          <w:ilvl w:val="0"/>
          <w:numId w:val="9"/>
        </w:numPr>
        <w:spacing w:after="0"/>
      </w:pPr>
      <w:r>
        <w:t>If the pellet is not fully resuspended, incubate at 50ºC or allow for resuspension at room temperat</w:t>
      </w:r>
      <w:r w:rsidR="00B610D8">
        <w:t>ure several days.</w:t>
      </w:r>
    </w:p>
    <w:p w14:paraId="49141430" w14:textId="56D7D052" w:rsidR="00C01026" w:rsidRDefault="003771E1" w:rsidP="00C01026">
      <w:pPr>
        <w:pStyle w:val="Prrafodelista"/>
        <w:numPr>
          <w:ilvl w:val="0"/>
          <w:numId w:val="8"/>
        </w:numPr>
        <w:spacing w:after="0"/>
      </w:pPr>
      <w:r w:rsidRPr="005A513F">
        <w:t>Quantify 1 µl of eluted sample using a Qubit fluorometer</w:t>
      </w:r>
      <w:r>
        <w:t>.</w:t>
      </w:r>
    </w:p>
    <w:p w14:paraId="7BA6584E" w14:textId="19163134" w:rsidR="007029A3" w:rsidRDefault="007029A3" w:rsidP="00C01026">
      <w:pPr>
        <w:pStyle w:val="Prrafodelista"/>
        <w:numPr>
          <w:ilvl w:val="0"/>
          <w:numId w:val="8"/>
        </w:numPr>
        <w:spacing w:after="0"/>
      </w:pPr>
      <w:r>
        <w:t>Store at 4ºC.</w:t>
      </w:r>
    </w:p>
    <w:p w14:paraId="7455A733" w14:textId="4DF5F4A4" w:rsidR="00EA29F9" w:rsidRPr="00EA29F9" w:rsidRDefault="00EA29F9" w:rsidP="00EA29F9">
      <w:pPr>
        <w:rPr>
          <w:rFonts w:ascii="Arial Black"/>
        </w:rPr>
      </w:pPr>
      <w:r w:rsidRPr="00EA29F9">
        <w:rPr>
          <w:rFonts w:ascii="Arial Black"/>
          <w:spacing w:val="-4"/>
        </w:rPr>
        <w:lastRenderedPageBreak/>
        <w:t>DNA</w:t>
      </w:r>
      <w:r w:rsidRPr="00EA29F9">
        <w:rPr>
          <w:rFonts w:ascii="Arial Black"/>
          <w:spacing w:val="-14"/>
        </w:rPr>
        <w:t xml:space="preserve"> </w:t>
      </w:r>
      <w:r w:rsidRPr="00EA29F9">
        <w:rPr>
          <w:rFonts w:ascii="Arial Black"/>
          <w:spacing w:val="-2"/>
        </w:rPr>
        <w:t>repair</w:t>
      </w:r>
      <w:r w:rsidRPr="00EA29F9">
        <w:rPr>
          <w:rFonts w:ascii="Arial Black"/>
          <w:spacing w:val="-14"/>
        </w:rPr>
        <w:t xml:space="preserve"> </w:t>
      </w:r>
      <w:r w:rsidRPr="00EA29F9">
        <w:rPr>
          <w:rFonts w:ascii="Arial Black"/>
          <w:spacing w:val="-4"/>
        </w:rPr>
        <w:t>and</w:t>
      </w:r>
      <w:r w:rsidRPr="00EA29F9">
        <w:rPr>
          <w:rFonts w:ascii="Arial Black"/>
          <w:spacing w:val="-14"/>
        </w:rPr>
        <w:t xml:space="preserve"> </w:t>
      </w:r>
      <w:r w:rsidRPr="00EA29F9">
        <w:rPr>
          <w:rFonts w:ascii="Arial Black"/>
          <w:spacing w:val="-4"/>
        </w:rPr>
        <w:t>end-prep</w:t>
      </w:r>
    </w:p>
    <w:p w14:paraId="7245FB47" w14:textId="42AF5EA3" w:rsidR="00E9421F" w:rsidRPr="00E9421F" w:rsidRDefault="00E9421F" w:rsidP="00E9421F">
      <w:pPr>
        <w:pStyle w:val="Prrafodelista"/>
        <w:numPr>
          <w:ilvl w:val="0"/>
          <w:numId w:val="2"/>
        </w:numPr>
        <w:spacing w:after="0"/>
      </w:pPr>
      <w:r w:rsidRPr="00E9421F">
        <w:t xml:space="preserve">Prepare the NEB reagents in accordance with manufacturer’s </w:t>
      </w:r>
      <w:r w:rsidR="00014140" w:rsidRPr="00E9421F">
        <w:t>instructions and</w:t>
      </w:r>
      <w:r w:rsidRPr="00E9421F">
        <w:t xml:space="preserve"> place on ice.</w:t>
      </w:r>
    </w:p>
    <w:p w14:paraId="04E62CF0" w14:textId="77777777" w:rsidR="00E9421F" w:rsidRPr="00E9421F" w:rsidRDefault="00E9421F" w:rsidP="00E9421F">
      <w:pPr>
        <w:pStyle w:val="Prrafodelista"/>
        <w:numPr>
          <w:ilvl w:val="0"/>
          <w:numId w:val="3"/>
        </w:numPr>
      </w:pPr>
      <w:r w:rsidRPr="00E9421F">
        <w:rPr>
          <w:w w:val="105"/>
        </w:rPr>
        <w:t>Thaw</w:t>
      </w:r>
      <w:r w:rsidRPr="00E9421F">
        <w:rPr>
          <w:spacing w:val="21"/>
          <w:w w:val="105"/>
        </w:rPr>
        <w:t xml:space="preserve"> </w:t>
      </w:r>
      <w:r w:rsidRPr="00E9421F">
        <w:rPr>
          <w:w w:val="105"/>
        </w:rPr>
        <w:t>all</w:t>
      </w:r>
      <w:r w:rsidRPr="00E9421F">
        <w:rPr>
          <w:spacing w:val="22"/>
          <w:w w:val="105"/>
        </w:rPr>
        <w:t xml:space="preserve"> </w:t>
      </w:r>
      <w:r w:rsidRPr="00E9421F">
        <w:rPr>
          <w:w w:val="105"/>
        </w:rPr>
        <w:t>reagents</w:t>
      </w:r>
      <w:r w:rsidRPr="00E9421F">
        <w:rPr>
          <w:spacing w:val="21"/>
          <w:w w:val="105"/>
        </w:rPr>
        <w:t xml:space="preserve"> </w:t>
      </w:r>
      <w:r w:rsidRPr="00E9421F">
        <w:rPr>
          <w:w w:val="105"/>
        </w:rPr>
        <w:t>on</w:t>
      </w:r>
      <w:r w:rsidRPr="00E9421F">
        <w:rPr>
          <w:spacing w:val="21"/>
          <w:w w:val="105"/>
        </w:rPr>
        <w:t xml:space="preserve"> </w:t>
      </w:r>
      <w:r w:rsidRPr="00E9421F">
        <w:rPr>
          <w:spacing w:val="-4"/>
          <w:w w:val="105"/>
        </w:rPr>
        <w:t>ice.</w:t>
      </w:r>
    </w:p>
    <w:p w14:paraId="0416C223" w14:textId="77777777" w:rsidR="00E9421F" w:rsidRPr="00E9421F" w:rsidRDefault="00E9421F" w:rsidP="00E9421F">
      <w:pPr>
        <w:pStyle w:val="Prrafodelista"/>
        <w:numPr>
          <w:ilvl w:val="0"/>
          <w:numId w:val="3"/>
        </w:numPr>
      </w:pPr>
      <w:r w:rsidRPr="00E9421F">
        <w:rPr>
          <w:w w:val="110"/>
        </w:rPr>
        <w:t>Flick and/or invert the reagent tubes to ensure they are well mixed.</w:t>
      </w:r>
      <w:r w:rsidRPr="00E9421F">
        <w:rPr>
          <w:w w:val="110"/>
        </w:rPr>
        <w:t xml:space="preserve"> </w:t>
      </w:r>
      <w:r w:rsidRPr="00E9421F">
        <w:rPr>
          <w:w w:val="105"/>
        </w:rPr>
        <w:t>Note:</w:t>
      </w:r>
      <w:r w:rsidRPr="00E9421F">
        <w:rPr>
          <w:spacing w:val="-12"/>
          <w:w w:val="105"/>
        </w:rPr>
        <w:t xml:space="preserve"> </w:t>
      </w:r>
      <w:r w:rsidRPr="00E9421F">
        <w:rPr>
          <w:w w:val="105"/>
        </w:rPr>
        <w:t>Do</w:t>
      </w:r>
      <w:r w:rsidRPr="00E9421F">
        <w:rPr>
          <w:spacing w:val="2"/>
          <w:w w:val="105"/>
        </w:rPr>
        <w:t xml:space="preserve"> </w:t>
      </w:r>
      <w:r w:rsidRPr="00E9421F">
        <w:rPr>
          <w:w w:val="105"/>
        </w:rPr>
        <w:t>not</w:t>
      </w:r>
      <w:r w:rsidRPr="00E9421F">
        <w:rPr>
          <w:spacing w:val="2"/>
          <w:w w:val="105"/>
        </w:rPr>
        <w:t xml:space="preserve"> </w:t>
      </w:r>
      <w:r w:rsidRPr="00E9421F">
        <w:rPr>
          <w:w w:val="105"/>
        </w:rPr>
        <w:t>vortex</w:t>
      </w:r>
      <w:r w:rsidRPr="00E9421F">
        <w:rPr>
          <w:spacing w:val="2"/>
          <w:w w:val="105"/>
        </w:rPr>
        <w:t xml:space="preserve"> </w:t>
      </w:r>
      <w:r w:rsidRPr="00E9421F">
        <w:rPr>
          <w:w w:val="105"/>
        </w:rPr>
        <w:t>the</w:t>
      </w:r>
      <w:r w:rsidRPr="00E9421F">
        <w:rPr>
          <w:spacing w:val="2"/>
          <w:w w:val="105"/>
        </w:rPr>
        <w:t xml:space="preserve"> </w:t>
      </w:r>
      <w:r w:rsidRPr="00E9421F">
        <w:rPr>
          <w:w w:val="105"/>
        </w:rPr>
        <w:t>FFPE</w:t>
      </w:r>
      <w:r w:rsidRPr="00E9421F">
        <w:rPr>
          <w:spacing w:val="2"/>
          <w:w w:val="105"/>
        </w:rPr>
        <w:t xml:space="preserve"> </w:t>
      </w:r>
      <w:r w:rsidRPr="00E9421F">
        <w:rPr>
          <w:w w:val="105"/>
        </w:rPr>
        <w:t>DNA</w:t>
      </w:r>
      <w:r w:rsidRPr="00E9421F">
        <w:rPr>
          <w:spacing w:val="2"/>
          <w:w w:val="105"/>
        </w:rPr>
        <w:t xml:space="preserve"> </w:t>
      </w:r>
      <w:r w:rsidRPr="00E9421F">
        <w:rPr>
          <w:w w:val="105"/>
        </w:rPr>
        <w:t>Repair</w:t>
      </w:r>
      <w:r w:rsidRPr="00E9421F">
        <w:rPr>
          <w:spacing w:val="1"/>
          <w:w w:val="105"/>
        </w:rPr>
        <w:t xml:space="preserve"> </w:t>
      </w:r>
      <w:r w:rsidRPr="00E9421F">
        <w:rPr>
          <w:w w:val="105"/>
        </w:rPr>
        <w:t>Mix</w:t>
      </w:r>
      <w:r w:rsidRPr="00E9421F">
        <w:rPr>
          <w:spacing w:val="2"/>
          <w:w w:val="105"/>
        </w:rPr>
        <w:t xml:space="preserve"> </w:t>
      </w:r>
      <w:r w:rsidRPr="00E9421F">
        <w:rPr>
          <w:spacing w:val="-5"/>
          <w:w w:val="105"/>
        </w:rPr>
        <w:t>or</w:t>
      </w:r>
      <w:r w:rsidRPr="00E9421F">
        <w:rPr>
          <w:spacing w:val="-5"/>
          <w:w w:val="105"/>
        </w:rPr>
        <w:t xml:space="preserve"> </w:t>
      </w:r>
      <w:r w:rsidRPr="00E9421F">
        <w:t>Ultra</w:t>
      </w:r>
      <w:r w:rsidRPr="00E9421F">
        <w:rPr>
          <w:spacing w:val="43"/>
        </w:rPr>
        <w:t xml:space="preserve"> </w:t>
      </w:r>
      <w:r w:rsidRPr="00E9421F">
        <w:t>II</w:t>
      </w:r>
      <w:r w:rsidRPr="00E9421F">
        <w:rPr>
          <w:spacing w:val="44"/>
        </w:rPr>
        <w:t xml:space="preserve"> </w:t>
      </w:r>
      <w:r w:rsidRPr="00E9421F">
        <w:t>End</w:t>
      </w:r>
      <w:r w:rsidRPr="00E9421F">
        <w:rPr>
          <w:spacing w:val="44"/>
        </w:rPr>
        <w:t xml:space="preserve"> </w:t>
      </w:r>
      <w:r w:rsidRPr="00E9421F">
        <w:t>Prep</w:t>
      </w:r>
      <w:r w:rsidRPr="00E9421F">
        <w:rPr>
          <w:spacing w:val="44"/>
        </w:rPr>
        <w:t xml:space="preserve"> </w:t>
      </w:r>
      <w:r w:rsidRPr="00E9421F">
        <w:t>Enzyme</w:t>
      </w:r>
      <w:r w:rsidRPr="00E9421F">
        <w:rPr>
          <w:spacing w:val="44"/>
        </w:rPr>
        <w:t xml:space="preserve"> </w:t>
      </w:r>
      <w:r w:rsidRPr="00E9421F">
        <w:rPr>
          <w:spacing w:val="-4"/>
        </w:rPr>
        <w:t>Mix.</w:t>
      </w:r>
    </w:p>
    <w:p w14:paraId="6E4303DC" w14:textId="77777777" w:rsidR="00E9421F" w:rsidRPr="00E9421F" w:rsidRDefault="00E9421F" w:rsidP="00E9421F">
      <w:pPr>
        <w:pStyle w:val="Prrafodelista"/>
        <w:numPr>
          <w:ilvl w:val="0"/>
          <w:numId w:val="3"/>
        </w:numPr>
      </w:pPr>
      <w:r w:rsidRPr="00E9421F">
        <w:rPr>
          <w:w w:val="110"/>
        </w:rPr>
        <w:t>Always spin down tubes before opening for the first time each day.</w:t>
      </w:r>
    </w:p>
    <w:p w14:paraId="47D53D9F" w14:textId="77777777" w:rsidR="00E9421F" w:rsidRPr="00E9421F" w:rsidRDefault="00E9421F" w:rsidP="00E9421F">
      <w:pPr>
        <w:pStyle w:val="Prrafodelista"/>
        <w:numPr>
          <w:ilvl w:val="0"/>
          <w:numId w:val="3"/>
        </w:numPr>
      </w:pPr>
      <w:r w:rsidRPr="00E9421F">
        <w:rPr>
          <w:w w:val="105"/>
        </w:rPr>
        <w:t>Vortex the FFPE DNA Repair Buffer v2 to ensure it is well mixed.</w:t>
      </w:r>
      <w:r w:rsidRPr="00E9421F">
        <w:rPr>
          <w:w w:val="105"/>
        </w:rPr>
        <w:t xml:space="preserve"> </w:t>
      </w:r>
      <w:r w:rsidRPr="00E9421F">
        <w:rPr>
          <w:w w:val="105"/>
        </w:rPr>
        <w:t>Note:</w:t>
      </w:r>
      <w:r w:rsidRPr="00E9421F">
        <w:rPr>
          <w:spacing w:val="9"/>
          <w:w w:val="105"/>
        </w:rPr>
        <w:t xml:space="preserve"> </w:t>
      </w:r>
      <w:r w:rsidRPr="00E9421F">
        <w:rPr>
          <w:w w:val="105"/>
        </w:rPr>
        <w:t>This</w:t>
      </w:r>
      <w:r w:rsidRPr="00E9421F">
        <w:rPr>
          <w:spacing w:val="24"/>
          <w:w w:val="105"/>
        </w:rPr>
        <w:t xml:space="preserve"> </w:t>
      </w:r>
      <w:r w:rsidRPr="00E9421F">
        <w:rPr>
          <w:w w:val="105"/>
        </w:rPr>
        <w:t>buffer</w:t>
      </w:r>
      <w:r w:rsidRPr="00E9421F">
        <w:rPr>
          <w:spacing w:val="23"/>
          <w:w w:val="105"/>
        </w:rPr>
        <w:t xml:space="preserve"> </w:t>
      </w:r>
      <w:r w:rsidRPr="00E9421F">
        <w:rPr>
          <w:w w:val="105"/>
        </w:rPr>
        <w:t>may</w:t>
      </w:r>
      <w:r w:rsidRPr="00E9421F">
        <w:rPr>
          <w:spacing w:val="24"/>
          <w:w w:val="105"/>
        </w:rPr>
        <w:t xml:space="preserve"> </w:t>
      </w:r>
      <w:r w:rsidRPr="00E9421F">
        <w:rPr>
          <w:w w:val="105"/>
        </w:rPr>
        <w:t>contain</w:t>
      </w:r>
      <w:r w:rsidRPr="00E9421F">
        <w:rPr>
          <w:spacing w:val="23"/>
          <w:w w:val="105"/>
        </w:rPr>
        <w:t xml:space="preserve"> </w:t>
      </w:r>
      <w:r w:rsidRPr="00E9421F">
        <w:rPr>
          <w:w w:val="105"/>
        </w:rPr>
        <w:t>a</w:t>
      </w:r>
      <w:r w:rsidRPr="00E9421F">
        <w:rPr>
          <w:spacing w:val="24"/>
          <w:w w:val="105"/>
        </w:rPr>
        <w:t xml:space="preserve"> </w:t>
      </w:r>
      <w:r w:rsidRPr="00E9421F">
        <w:rPr>
          <w:w w:val="105"/>
        </w:rPr>
        <w:t>white</w:t>
      </w:r>
      <w:r w:rsidRPr="00E9421F">
        <w:rPr>
          <w:spacing w:val="23"/>
          <w:w w:val="105"/>
        </w:rPr>
        <w:t xml:space="preserve"> </w:t>
      </w:r>
      <w:r w:rsidRPr="00E9421F">
        <w:rPr>
          <w:spacing w:val="-2"/>
          <w:w w:val="105"/>
        </w:rPr>
        <w:t>precipitate.</w:t>
      </w:r>
      <w:r w:rsidRPr="00E9421F">
        <w:rPr>
          <w:spacing w:val="-2"/>
          <w:w w:val="105"/>
        </w:rPr>
        <w:t xml:space="preserve"> </w:t>
      </w:r>
      <w:r w:rsidRPr="00E9421F">
        <w:rPr>
          <w:w w:val="110"/>
        </w:rPr>
        <w:t>If this occurs, allow the mixture to</w:t>
      </w:r>
      <w:r w:rsidRPr="00E9421F">
        <w:rPr>
          <w:w w:val="110"/>
        </w:rPr>
        <w:t xml:space="preserve"> </w:t>
      </w:r>
      <w:r w:rsidRPr="00E9421F">
        <w:rPr>
          <w:w w:val="110"/>
        </w:rPr>
        <w:t>come to room temperature and pipette the buffer several times to break</w:t>
      </w:r>
      <w:r w:rsidRPr="00E9421F">
        <w:rPr>
          <w:w w:val="110"/>
        </w:rPr>
        <w:t xml:space="preserve"> </w:t>
      </w:r>
      <w:r w:rsidRPr="00E9421F">
        <w:rPr>
          <w:w w:val="110"/>
        </w:rPr>
        <w:t>up the precipitate, followed by a quick vortex to mix.</w:t>
      </w:r>
    </w:p>
    <w:p w14:paraId="0E4F5502" w14:textId="6DBED714" w:rsidR="00E9421F" w:rsidRPr="00276C18" w:rsidRDefault="00E9421F" w:rsidP="00E9421F">
      <w:pPr>
        <w:pStyle w:val="Prrafodelista"/>
        <w:numPr>
          <w:ilvl w:val="0"/>
          <w:numId w:val="3"/>
        </w:numPr>
      </w:pPr>
      <w:r w:rsidRPr="00E9421F">
        <w:rPr>
          <w:w w:val="105"/>
        </w:rPr>
        <w:t>The FFPE DNA Repair Buffer v2 may have a yellow tinge</w:t>
      </w:r>
      <w:r w:rsidRPr="00E9421F">
        <w:rPr>
          <w:spacing w:val="40"/>
          <w:w w:val="105"/>
        </w:rPr>
        <w:t xml:space="preserve"> </w:t>
      </w:r>
      <w:r w:rsidRPr="00E9421F">
        <w:rPr>
          <w:w w:val="105"/>
        </w:rPr>
        <w:t>and</w:t>
      </w:r>
      <w:r w:rsidRPr="00E9421F">
        <w:rPr>
          <w:spacing w:val="40"/>
          <w:w w:val="105"/>
        </w:rPr>
        <w:t xml:space="preserve"> </w:t>
      </w:r>
      <w:r w:rsidRPr="00E9421F">
        <w:rPr>
          <w:w w:val="105"/>
        </w:rPr>
        <w:t>is</w:t>
      </w:r>
      <w:r w:rsidRPr="00E9421F">
        <w:rPr>
          <w:spacing w:val="40"/>
          <w:w w:val="105"/>
        </w:rPr>
        <w:t xml:space="preserve"> </w:t>
      </w:r>
      <w:r w:rsidRPr="00E9421F">
        <w:rPr>
          <w:w w:val="105"/>
        </w:rPr>
        <w:t>fine</w:t>
      </w:r>
      <w:r w:rsidRPr="00E9421F">
        <w:rPr>
          <w:spacing w:val="40"/>
          <w:w w:val="105"/>
        </w:rPr>
        <w:t xml:space="preserve"> </w:t>
      </w:r>
      <w:r w:rsidRPr="00E9421F">
        <w:rPr>
          <w:w w:val="105"/>
        </w:rPr>
        <w:t>to</w:t>
      </w:r>
      <w:r w:rsidRPr="00E9421F">
        <w:rPr>
          <w:spacing w:val="40"/>
          <w:w w:val="105"/>
        </w:rPr>
        <w:t xml:space="preserve"> </w:t>
      </w:r>
      <w:r w:rsidRPr="00E9421F">
        <w:rPr>
          <w:w w:val="105"/>
        </w:rPr>
        <w:t>use</w:t>
      </w:r>
      <w:r w:rsidRPr="00E9421F">
        <w:rPr>
          <w:spacing w:val="40"/>
          <w:w w:val="105"/>
        </w:rPr>
        <w:t xml:space="preserve"> </w:t>
      </w:r>
      <w:r w:rsidRPr="00E9421F">
        <w:rPr>
          <w:w w:val="105"/>
        </w:rPr>
        <w:t>if</w:t>
      </w:r>
      <w:r w:rsidRPr="00E9421F">
        <w:rPr>
          <w:spacing w:val="40"/>
          <w:w w:val="105"/>
        </w:rPr>
        <w:t xml:space="preserve"> </w:t>
      </w:r>
      <w:r w:rsidRPr="00E9421F">
        <w:rPr>
          <w:w w:val="105"/>
        </w:rPr>
        <w:t>yellow.</w:t>
      </w:r>
    </w:p>
    <w:p w14:paraId="47E184C6" w14:textId="77777777" w:rsidR="00276C18" w:rsidRPr="00E9421F" w:rsidRDefault="00276C18" w:rsidP="00276C18">
      <w:pPr>
        <w:pStyle w:val="Prrafodelista"/>
        <w:ind w:left="1080"/>
      </w:pPr>
    </w:p>
    <w:p w14:paraId="0D480F8D" w14:textId="4F0E35BC" w:rsidR="00EA29F9" w:rsidRPr="00E9421F" w:rsidRDefault="00E9421F" w:rsidP="00E9421F">
      <w:pPr>
        <w:pStyle w:val="Prrafodelista"/>
        <w:numPr>
          <w:ilvl w:val="0"/>
          <w:numId w:val="2"/>
        </w:numPr>
        <w:rPr>
          <w:spacing w:val="-2"/>
        </w:rPr>
      </w:pPr>
      <w:r w:rsidRPr="00E9421F">
        <w:t>Prepare</w:t>
      </w:r>
      <w:r w:rsidRPr="00E9421F">
        <w:rPr>
          <w:spacing w:val="16"/>
        </w:rPr>
        <w:t xml:space="preserve"> </w:t>
      </w:r>
      <w:r w:rsidRPr="00E9421F">
        <w:t>the</w:t>
      </w:r>
      <w:r w:rsidRPr="00E9421F">
        <w:rPr>
          <w:spacing w:val="17"/>
        </w:rPr>
        <w:t xml:space="preserve"> </w:t>
      </w:r>
      <w:r w:rsidRPr="00E9421F">
        <w:t>DNA</w:t>
      </w:r>
      <w:r w:rsidRPr="00E9421F">
        <w:rPr>
          <w:spacing w:val="17"/>
        </w:rPr>
        <w:t xml:space="preserve"> </w:t>
      </w:r>
      <w:r w:rsidRPr="00E9421F">
        <w:t>in</w:t>
      </w:r>
      <w:r w:rsidRPr="00E9421F">
        <w:rPr>
          <w:spacing w:val="17"/>
        </w:rPr>
        <w:t xml:space="preserve"> </w:t>
      </w:r>
      <w:r w:rsidRPr="00E9421F">
        <w:t>nuclease-free</w:t>
      </w:r>
      <w:r w:rsidRPr="00E9421F">
        <w:rPr>
          <w:spacing w:val="17"/>
        </w:rPr>
        <w:t xml:space="preserve"> </w:t>
      </w:r>
      <w:r w:rsidRPr="00E9421F">
        <w:rPr>
          <w:spacing w:val="-2"/>
        </w:rPr>
        <w:t>water:</w:t>
      </w:r>
    </w:p>
    <w:p w14:paraId="1148D868" w14:textId="26DE0BAB" w:rsidR="00E9421F" w:rsidRPr="00D044B4" w:rsidRDefault="00E9421F" w:rsidP="009E3C51">
      <w:pPr>
        <w:pStyle w:val="Prrafodelista"/>
        <w:numPr>
          <w:ilvl w:val="0"/>
          <w:numId w:val="3"/>
        </w:numPr>
        <w:rPr>
          <w:w w:val="105"/>
        </w:rPr>
      </w:pPr>
      <w:r w:rsidRPr="00D044B4">
        <w:rPr>
          <w:w w:val="105"/>
        </w:rPr>
        <w:t xml:space="preserve">Transfer </w:t>
      </w:r>
      <w:r w:rsidRPr="00D044B4">
        <w:rPr>
          <w:w w:val="105"/>
        </w:rPr>
        <w:t>2-3</w:t>
      </w:r>
      <w:r w:rsidRPr="00D044B4">
        <w:rPr>
          <w:w w:val="105"/>
        </w:rPr>
        <w:t xml:space="preserve"> </w:t>
      </w:r>
      <w:proofErr w:type="spellStart"/>
      <w:r w:rsidRPr="00D044B4">
        <w:rPr>
          <w:w w:val="105"/>
        </w:rPr>
        <w:t>μg</w:t>
      </w:r>
      <w:proofErr w:type="spellEnd"/>
      <w:r w:rsidRPr="00D044B4">
        <w:rPr>
          <w:w w:val="105"/>
        </w:rPr>
        <w:t xml:space="preserve"> input DNA into a</w:t>
      </w:r>
      <w:r w:rsidRPr="00D044B4">
        <w:rPr>
          <w:w w:val="105"/>
        </w:rPr>
        <w:t xml:space="preserve"> </w:t>
      </w:r>
      <w:r w:rsidRPr="00D044B4">
        <w:rPr>
          <w:w w:val="105"/>
        </w:rPr>
        <w:t xml:space="preserve">1.5 ml Eppendorf DNA </w:t>
      </w:r>
      <w:proofErr w:type="spellStart"/>
      <w:r w:rsidRPr="00D044B4">
        <w:rPr>
          <w:w w:val="105"/>
        </w:rPr>
        <w:t>LoBind</w:t>
      </w:r>
      <w:proofErr w:type="spellEnd"/>
      <w:r w:rsidRPr="00D044B4">
        <w:rPr>
          <w:w w:val="105"/>
        </w:rPr>
        <w:t xml:space="preserve"> tube.</w:t>
      </w:r>
      <w:r w:rsidR="00600B79">
        <w:rPr>
          <w:w w:val="105"/>
        </w:rPr>
        <w:t xml:space="preserve"> Use wide bore tips.</w:t>
      </w:r>
    </w:p>
    <w:p w14:paraId="1DE3C868" w14:textId="5C2DE7BB" w:rsidR="00E9421F" w:rsidRPr="00D044B4" w:rsidRDefault="00E9421F" w:rsidP="009E3C51">
      <w:pPr>
        <w:pStyle w:val="Prrafodelista"/>
        <w:numPr>
          <w:ilvl w:val="0"/>
          <w:numId w:val="3"/>
        </w:numPr>
        <w:rPr>
          <w:w w:val="105"/>
        </w:rPr>
      </w:pPr>
      <w:r w:rsidRPr="00D044B4">
        <w:rPr>
          <w:w w:val="105"/>
        </w:rPr>
        <w:t>Adjust the volume to 4</w:t>
      </w:r>
      <w:r w:rsidRPr="00D044B4">
        <w:rPr>
          <w:w w:val="105"/>
        </w:rPr>
        <w:t>8</w:t>
      </w:r>
      <w:r w:rsidRPr="00D044B4">
        <w:rPr>
          <w:w w:val="105"/>
        </w:rPr>
        <w:t xml:space="preserve"> </w:t>
      </w:r>
      <w:proofErr w:type="spellStart"/>
      <w:r w:rsidRPr="00D044B4">
        <w:rPr>
          <w:w w:val="105"/>
        </w:rPr>
        <w:t>μl</w:t>
      </w:r>
      <w:proofErr w:type="spellEnd"/>
      <w:r w:rsidRPr="00D044B4">
        <w:rPr>
          <w:w w:val="105"/>
        </w:rPr>
        <w:t xml:space="preserve"> with nuclease-free water.</w:t>
      </w:r>
    </w:p>
    <w:p w14:paraId="445D4625" w14:textId="26AD1FDD" w:rsidR="00E9421F" w:rsidRPr="00D044B4" w:rsidRDefault="00E9421F" w:rsidP="009E3C51">
      <w:pPr>
        <w:pStyle w:val="Prrafodelista"/>
        <w:numPr>
          <w:ilvl w:val="0"/>
          <w:numId w:val="3"/>
        </w:numPr>
        <w:rPr>
          <w:w w:val="105"/>
        </w:rPr>
      </w:pPr>
      <w:r w:rsidRPr="00D044B4">
        <w:rPr>
          <w:w w:val="105"/>
        </w:rPr>
        <w:t>Mix thoroughly by flicking the tube.</w:t>
      </w:r>
    </w:p>
    <w:p w14:paraId="17CA82F2" w14:textId="17D04111" w:rsidR="00E9421F" w:rsidRDefault="00E9421F" w:rsidP="009E3C51">
      <w:pPr>
        <w:pStyle w:val="Prrafodelista"/>
        <w:numPr>
          <w:ilvl w:val="0"/>
          <w:numId w:val="3"/>
        </w:numPr>
        <w:rPr>
          <w:w w:val="105"/>
        </w:rPr>
      </w:pPr>
      <w:r w:rsidRPr="00D044B4">
        <w:rPr>
          <w:w w:val="105"/>
        </w:rPr>
        <w:t>Spin down briefly in a microfuge</w:t>
      </w:r>
    </w:p>
    <w:p w14:paraId="320AC152" w14:textId="77777777" w:rsidR="00276C18" w:rsidRPr="00D044B4" w:rsidRDefault="00276C18" w:rsidP="00276C18">
      <w:pPr>
        <w:pStyle w:val="Prrafodelista"/>
        <w:ind w:left="1080"/>
        <w:rPr>
          <w:w w:val="105"/>
        </w:rPr>
      </w:pPr>
    </w:p>
    <w:p w14:paraId="4E20C2B1" w14:textId="3894E365" w:rsidR="00E9421F" w:rsidRPr="00E9421F" w:rsidRDefault="00E9421F" w:rsidP="00E9421F">
      <w:pPr>
        <w:pStyle w:val="Prrafodelista"/>
        <w:numPr>
          <w:ilvl w:val="0"/>
          <w:numId w:val="2"/>
        </w:numPr>
      </w:pPr>
      <w:r w:rsidRPr="00E9421F">
        <w:t>In a 0.2 ml thin-walled PCR tube, mix the following</w:t>
      </w:r>
      <w:r>
        <w:t>: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1940"/>
      </w:tblGrid>
      <w:tr w:rsidR="00E47437" w14:paraId="6D8FB8B8" w14:textId="77777777" w:rsidTr="005517C7">
        <w:trPr>
          <w:trHeight w:val="419"/>
          <w:jc w:val="center"/>
        </w:trPr>
        <w:tc>
          <w:tcPr>
            <w:tcW w:w="4379" w:type="dxa"/>
            <w:shd w:val="clear" w:color="auto" w:fill="C1E4F5" w:themeFill="accent1" w:themeFillTint="33"/>
            <w:vAlign w:val="center"/>
          </w:tcPr>
          <w:p w14:paraId="5E1584E3" w14:textId="77777777" w:rsidR="00E47437" w:rsidRPr="005517C7" w:rsidRDefault="00E47437" w:rsidP="00D5684B">
            <w:pPr>
              <w:pStyle w:val="TableParagraph"/>
              <w:spacing w:before="65"/>
              <w:ind w:left="99"/>
              <w:rPr>
                <w:rFonts w:ascii="Arial Black"/>
                <w:sz w:val="20"/>
              </w:rPr>
            </w:pPr>
            <w:r w:rsidRPr="005517C7">
              <w:rPr>
                <w:rFonts w:ascii="Arial Black"/>
                <w:spacing w:val="-2"/>
                <w:sz w:val="20"/>
              </w:rPr>
              <w:t>Reagent</w:t>
            </w:r>
          </w:p>
        </w:tc>
        <w:tc>
          <w:tcPr>
            <w:tcW w:w="1940" w:type="dxa"/>
            <w:shd w:val="clear" w:color="auto" w:fill="C1E4F5" w:themeFill="accent1" w:themeFillTint="33"/>
            <w:vAlign w:val="center"/>
          </w:tcPr>
          <w:p w14:paraId="7A97EBED" w14:textId="77777777" w:rsidR="00E47437" w:rsidRPr="005517C7" w:rsidRDefault="00E47437" w:rsidP="00D5684B">
            <w:pPr>
              <w:pStyle w:val="TableParagraph"/>
              <w:spacing w:before="65"/>
              <w:ind w:left="752"/>
              <w:rPr>
                <w:rFonts w:ascii="Arial Black"/>
                <w:sz w:val="20"/>
              </w:rPr>
            </w:pPr>
            <w:r w:rsidRPr="005517C7">
              <w:rPr>
                <w:rFonts w:ascii="Arial Black"/>
                <w:spacing w:val="-2"/>
                <w:sz w:val="20"/>
              </w:rPr>
              <w:t>Volume</w:t>
            </w:r>
          </w:p>
        </w:tc>
      </w:tr>
      <w:tr w:rsidR="00E47437" w14:paraId="34517A78" w14:textId="77777777" w:rsidTr="00E47437">
        <w:trPr>
          <w:trHeight w:val="419"/>
          <w:jc w:val="center"/>
        </w:trPr>
        <w:tc>
          <w:tcPr>
            <w:tcW w:w="4379" w:type="dxa"/>
            <w:vAlign w:val="center"/>
          </w:tcPr>
          <w:p w14:paraId="3DAE6C78" w14:textId="77777777" w:rsidR="00E47437" w:rsidRDefault="00E47437" w:rsidP="00D5684B">
            <w:pPr>
              <w:pStyle w:val="TableParagraph"/>
              <w:spacing w:before="97"/>
              <w:ind w:left="99"/>
              <w:rPr>
                <w:sz w:val="20"/>
              </w:rPr>
            </w:pPr>
            <w:r>
              <w:rPr>
                <w:color w:val="333333"/>
                <w:w w:val="110"/>
                <w:sz w:val="20"/>
              </w:rPr>
              <w:t>DNA from</w:t>
            </w:r>
            <w:r>
              <w:rPr>
                <w:color w:val="333333"/>
                <w:spacing w:val="1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20"/>
              </w:rPr>
              <w:t>the</w:t>
            </w:r>
            <w:r>
              <w:rPr>
                <w:color w:val="333333"/>
                <w:spacing w:val="1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20"/>
              </w:rPr>
              <w:t xml:space="preserve">previous </w:t>
            </w:r>
            <w:r>
              <w:rPr>
                <w:color w:val="333333"/>
                <w:spacing w:val="-4"/>
                <w:w w:val="110"/>
                <w:sz w:val="20"/>
              </w:rPr>
              <w:t>step</w:t>
            </w:r>
          </w:p>
        </w:tc>
        <w:tc>
          <w:tcPr>
            <w:tcW w:w="1940" w:type="dxa"/>
            <w:vAlign w:val="center"/>
          </w:tcPr>
          <w:p w14:paraId="67841AB9" w14:textId="77777777" w:rsidR="00E47437" w:rsidRDefault="00E47437" w:rsidP="00D5684B">
            <w:pPr>
              <w:pStyle w:val="TableParagraph"/>
              <w:spacing w:before="97"/>
              <w:ind w:left="752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47</w:t>
            </w:r>
            <w:r>
              <w:rPr>
                <w:color w:val="333333"/>
                <w:spacing w:val="-3"/>
                <w:w w:val="110"/>
                <w:sz w:val="20"/>
              </w:rPr>
              <w:t xml:space="preserve"> </w:t>
            </w:r>
            <w:r>
              <w:rPr>
                <w:color w:val="333333"/>
                <w:spacing w:val="-5"/>
                <w:w w:val="110"/>
                <w:sz w:val="20"/>
              </w:rPr>
              <w:t>µl</w:t>
            </w:r>
          </w:p>
        </w:tc>
      </w:tr>
      <w:tr w:rsidR="00E47437" w14:paraId="369AFF3D" w14:textId="77777777" w:rsidTr="00E47437">
        <w:trPr>
          <w:trHeight w:val="419"/>
          <w:jc w:val="center"/>
        </w:trPr>
        <w:tc>
          <w:tcPr>
            <w:tcW w:w="4379" w:type="dxa"/>
            <w:vAlign w:val="center"/>
          </w:tcPr>
          <w:p w14:paraId="34D423EA" w14:textId="77777777" w:rsidR="00E47437" w:rsidRDefault="00E47437" w:rsidP="00D5684B">
            <w:pPr>
              <w:pStyle w:val="TableParagraph"/>
              <w:spacing w:before="97"/>
              <w:ind w:left="99"/>
              <w:rPr>
                <w:sz w:val="20"/>
              </w:rPr>
            </w:pPr>
            <w:r>
              <w:rPr>
                <w:color w:val="333333"/>
                <w:sz w:val="20"/>
              </w:rPr>
              <w:t>DNA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CS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(optional)</w:t>
            </w:r>
          </w:p>
        </w:tc>
        <w:tc>
          <w:tcPr>
            <w:tcW w:w="1940" w:type="dxa"/>
            <w:vAlign w:val="center"/>
          </w:tcPr>
          <w:p w14:paraId="49728513" w14:textId="77777777" w:rsidR="00E47437" w:rsidRDefault="00E47437" w:rsidP="00D5684B">
            <w:pPr>
              <w:pStyle w:val="TableParagraph"/>
              <w:spacing w:before="97"/>
              <w:ind w:left="752"/>
              <w:rPr>
                <w:sz w:val="20"/>
              </w:rPr>
            </w:pPr>
            <w:r>
              <w:rPr>
                <w:color w:val="333333"/>
                <w:w w:val="110"/>
                <w:sz w:val="20"/>
              </w:rPr>
              <w:t>1</w:t>
            </w:r>
            <w:r>
              <w:rPr>
                <w:color w:val="333333"/>
                <w:spacing w:val="-9"/>
                <w:w w:val="110"/>
                <w:sz w:val="20"/>
              </w:rPr>
              <w:t xml:space="preserve"> </w:t>
            </w:r>
            <w:r>
              <w:rPr>
                <w:color w:val="333333"/>
                <w:spacing w:val="-5"/>
                <w:w w:val="110"/>
                <w:sz w:val="20"/>
              </w:rPr>
              <w:t>µl</w:t>
            </w:r>
          </w:p>
        </w:tc>
      </w:tr>
      <w:tr w:rsidR="00E47437" w14:paraId="5E24CAFF" w14:textId="77777777" w:rsidTr="00E47437">
        <w:trPr>
          <w:trHeight w:val="419"/>
          <w:jc w:val="center"/>
        </w:trPr>
        <w:tc>
          <w:tcPr>
            <w:tcW w:w="4379" w:type="dxa"/>
            <w:vAlign w:val="center"/>
          </w:tcPr>
          <w:p w14:paraId="733E9EF9" w14:textId="77777777" w:rsidR="00E47437" w:rsidRDefault="00E47437" w:rsidP="00D5684B">
            <w:pPr>
              <w:pStyle w:val="TableParagraph"/>
              <w:spacing w:before="97"/>
              <w:ind w:left="99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NEBNext</w:t>
            </w:r>
            <w:proofErr w:type="spellEnd"/>
            <w:r>
              <w:rPr>
                <w:color w:val="333333"/>
                <w:spacing w:val="2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FFPE</w:t>
            </w:r>
            <w:r>
              <w:rPr>
                <w:color w:val="333333"/>
                <w:spacing w:val="2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DNA</w:t>
            </w:r>
            <w:r>
              <w:rPr>
                <w:color w:val="333333"/>
                <w:spacing w:val="2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Repair</w:t>
            </w:r>
            <w:r>
              <w:rPr>
                <w:color w:val="333333"/>
                <w:spacing w:val="2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Buffer</w:t>
            </w:r>
            <w:r>
              <w:rPr>
                <w:color w:val="333333"/>
                <w:spacing w:val="2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v2</w:t>
            </w:r>
          </w:p>
        </w:tc>
        <w:tc>
          <w:tcPr>
            <w:tcW w:w="1940" w:type="dxa"/>
            <w:vAlign w:val="center"/>
          </w:tcPr>
          <w:p w14:paraId="4465B22A" w14:textId="77777777" w:rsidR="00E47437" w:rsidRDefault="00E47437" w:rsidP="00D5684B">
            <w:pPr>
              <w:pStyle w:val="TableParagraph"/>
              <w:spacing w:before="97"/>
              <w:ind w:left="752"/>
              <w:rPr>
                <w:sz w:val="20"/>
              </w:rPr>
            </w:pPr>
            <w:r>
              <w:rPr>
                <w:color w:val="333333"/>
                <w:w w:val="110"/>
                <w:sz w:val="20"/>
              </w:rPr>
              <w:t>7</w:t>
            </w:r>
            <w:r>
              <w:rPr>
                <w:color w:val="333333"/>
                <w:spacing w:val="-9"/>
                <w:w w:val="110"/>
                <w:sz w:val="20"/>
              </w:rPr>
              <w:t xml:space="preserve"> </w:t>
            </w:r>
            <w:r>
              <w:rPr>
                <w:color w:val="333333"/>
                <w:spacing w:val="-5"/>
                <w:w w:val="110"/>
                <w:sz w:val="20"/>
              </w:rPr>
              <w:t>µl</w:t>
            </w:r>
          </w:p>
        </w:tc>
      </w:tr>
      <w:tr w:rsidR="00E47437" w14:paraId="7F816863" w14:textId="77777777" w:rsidTr="00E47437">
        <w:trPr>
          <w:trHeight w:val="419"/>
          <w:jc w:val="center"/>
        </w:trPr>
        <w:tc>
          <w:tcPr>
            <w:tcW w:w="4379" w:type="dxa"/>
            <w:vAlign w:val="center"/>
          </w:tcPr>
          <w:p w14:paraId="448C72A0" w14:textId="77777777" w:rsidR="00E47437" w:rsidRDefault="00E47437" w:rsidP="00D5684B">
            <w:pPr>
              <w:pStyle w:val="TableParagraph"/>
              <w:spacing w:before="97"/>
              <w:ind w:left="99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NEBNext</w:t>
            </w:r>
            <w:proofErr w:type="spellEnd"/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FFPE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DNA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Repair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Mix</w:t>
            </w:r>
          </w:p>
        </w:tc>
        <w:tc>
          <w:tcPr>
            <w:tcW w:w="1940" w:type="dxa"/>
            <w:vAlign w:val="center"/>
          </w:tcPr>
          <w:p w14:paraId="5B1643BB" w14:textId="77777777" w:rsidR="00E47437" w:rsidRDefault="00E47437" w:rsidP="00D5684B">
            <w:pPr>
              <w:pStyle w:val="TableParagraph"/>
              <w:spacing w:before="97"/>
              <w:ind w:left="752"/>
              <w:rPr>
                <w:sz w:val="20"/>
              </w:rPr>
            </w:pPr>
            <w:r>
              <w:rPr>
                <w:color w:val="333333"/>
                <w:w w:val="110"/>
                <w:sz w:val="20"/>
              </w:rPr>
              <w:t>2</w:t>
            </w:r>
            <w:r>
              <w:rPr>
                <w:color w:val="333333"/>
                <w:spacing w:val="-9"/>
                <w:w w:val="110"/>
                <w:sz w:val="20"/>
              </w:rPr>
              <w:t xml:space="preserve"> </w:t>
            </w:r>
            <w:r>
              <w:rPr>
                <w:color w:val="333333"/>
                <w:spacing w:val="-5"/>
                <w:w w:val="110"/>
                <w:sz w:val="20"/>
              </w:rPr>
              <w:t>µl</w:t>
            </w:r>
          </w:p>
        </w:tc>
      </w:tr>
      <w:tr w:rsidR="00E47437" w14:paraId="0A4D17B2" w14:textId="77777777" w:rsidTr="00E47437">
        <w:trPr>
          <w:trHeight w:val="419"/>
          <w:jc w:val="center"/>
        </w:trPr>
        <w:tc>
          <w:tcPr>
            <w:tcW w:w="4379" w:type="dxa"/>
            <w:vAlign w:val="center"/>
          </w:tcPr>
          <w:p w14:paraId="2C4B7394" w14:textId="79926C37" w:rsidR="00E47437" w:rsidRDefault="00E47437" w:rsidP="00D5684B">
            <w:pPr>
              <w:pStyle w:val="TableParagraph"/>
              <w:spacing w:before="97"/>
              <w:ind w:left="99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Ultra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II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End-prep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Enzyme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Mix</w:t>
            </w:r>
          </w:p>
        </w:tc>
        <w:tc>
          <w:tcPr>
            <w:tcW w:w="1940" w:type="dxa"/>
            <w:vAlign w:val="center"/>
          </w:tcPr>
          <w:p w14:paraId="659DC0D1" w14:textId="3B274785" w:rsidR="00E47437" w:rsidRDefault="00E47437" w:rsidP="00D5684B">
            <w:pPr>
              <w:pStyle w:val="TableParagraph"/>
              <w:spacing w:before="97"/>
              <w:ind w:left="752"/>
              <w:rPr>
                <w:color w:val="333333"/>
                <w:w w:val="110"/>
                <w:sz w:val="20"/>
              </w:rPr>
            </w:pPr>
            <w:r>
              <w:rPr>
                <w:color w:val="333333"/>
                <w:w w:val="110"/>
                <w:sz w:val="20"/>
              </w:rPr>
              <w:t>3</w:t>
            </w:r>
            <w:r>
              <w:rPr>
                <w:color w:val="333333"/>
                <w:spacing w:val="-9"/>
                <w:w w:val="110"/>
                <w:sz w:val="20"/>
              </w:rPr>
              <w:t xml:space="preserve"> </w:t>
            </w:r>
            <w:r>
              <w:rPr>
                <w:color w:val="333333"/>
                <w:spacing w:val="-5"/>
                <w:w w:val="110"/>
                <w:sz w:val="20"/>
              </w:rPr>
              <w:t>µl</w:t>
            </w:r>
          </w:p>
        </w:tc>
      </w:tr>
      <w:tr w:rsidR="00E47437" w14:paraId="22DC796F" w14:textId="77777777" w:rsidTr="00E47437">
        <w:trPr>
          <w:trHeight w:val="419"/>
          <w:jc w:val="center"/>
        </w:trPr>
        <w:tc>
          <w:tcPr>
            <w:tcW w:w="4379" w:type="dxa"/>
            <w:vAlign w:val="center"/>
          </w:tcPr>
          <w:p w14:paraId="3AA0252A" w14:textId="43A9A9BC" w:rsidR="00E47437" w:rsidRPr="00E47437" w:rsidRDefault="00E47437" w:rsidP="00D5684B">
            <w:pPr>
              <w:pStyle w:val="TableParagraph"/>
              <w:spacing w:before="97"/>
              <w:ind w:left="99"/>
              <w:rPr>
                <w:b/>
                <w:bCs/>
                <w:color w:val="333333"/>
                <w:sz w:val="20"/>
              </w:rPr>
            </w:pPr>
            <w:r w:rsidRPr="00E47437">
              <w:rPr>
                <w:b/>
                <w:bCs/>
                <w:color w:val="333333"/>
                <w:sz w:val="20"/>
              </w:rPr>
              <w:t>Total volume</w:t>
            </w:r>
          </w:p>
        </w:tc>
        <w:tc>
          <w:tcPr>
            <w:tcW w:w="1940" w:type="dxa"/>
            <w:vAlign w:val="center"/>
          </w:tcPr>
          <w:p w14:paraId="2CBE7D5F" w14:textId="48ED1B58" w:rsidR="00E47437" w:rsidRPr="00E47437" w:rsidRDefault="00E47437" w:rsidP="00D5684B">
            <w:pPr>
              <w:pStyle w:val="TableParagraph"/>
              <w:spacing w:before="97"/>
              <w:ind w:left="752"/>
              <w:rPr>
                <w:b/>
                <w:bCs/>
                <w:color w:val="333333"/>
                <w:w w:val="110"/>
                <w:sz w:val="20"/>
              </w:rPr>
            </w:pPr>
            <w:r w:rsidRPr="00E47437">
              <w:rPr>
                <w:b/>
                <w:bCs/>
                <w:color w:val="333333"/>
                <w:w w:val="110"/>
                <w:sz w:val="20"/>
              </w:rPr>
              <w:t xml:space="preserve">60 </w:t>
            </w:r>
            <w:r w:rsidRPr="00E47437">
              <w:rPr>
                <w:b/>
                <w:bCs/>
                <w:color w:val="333333"/>
                <w:spacing w:val="-5"/>
                <w:w w:val="110"/>
                <w:sz w:val="20"/>
              </w:rPr>
              <w:t>µl</w:t>
            </w:r>
          </w:p>
        </w:tc>
      </w:tr>
    </w:tbl>
    <w:p w14:paraId="446EA012" w14:textId="77777777" w:rsidR="00050561" w:rsidRDefault="00050561" w:rsidP="00050561">
      <w:pPr>
        <w:pStyle w:val="Prrafodelista"/>
        <w:spacing w:after="0"/>
      </w:pPr>
    </w:p>
    <w:p w14:paraId="65847365" w14:textId="77777777" w:rsidR="00276C18" w:rsidRDefault="00276C18" w:rsidP="00050561">
      <w:pPr>
        <w:pStyle w:val="Prrafodelista"/>
        <w:spacing w:after="0"/>
      </w:pPr>
    </w:p>
    <w:p w14:paraId="43D28B02" w14:textId="07683966" w:rsidR="00E9421F" w:rsidRDefault="00050561" w:rsidP="00AA0BD0">
      <w:pPr>
        <w:pStyle w:val="Prrafodelista"/>
        <w:numPr>
          <w:ilvl w:val="0"/>
          <w:numId w:val="2"/>
        </w:numPr>
      </w:pPr>
      <w:r>
        <w:t>Mix the reaction by flicking the tube and briefly spin down.</w:t>
      </w:r>
    </w:p>
    <w:p w14:paraId="6A05C2A2" w14:textId="77777777" w:rsidR="00276C18" w:rsidRDefault="00276C18" w:rsidP="00276C18">
      <w:pPr>
        <w:pStyle w:val="Prrafodelista"/>
      </w:pPr>
    </w:p>
    <w:p w14:paraId="0D5C2719" w14:textId="71D101D2" w:rsidR="00276C18" w:rsidRPr="00050561" w:rsidRDefault="00050561" w:rsidP="00276C18">
      <w:pPr>
        <w:pStyle w:val="Prrafodelista"/>
        <w:numPr>
          <w:ilvl w:val="0"/>
          <w:numId w:val="2"/>
        </w:numPr>
      </w:pPr>
      <w:r w:rsidRPr="00050561">
        <w:lastRenderedPageBreak/>
        <w:t>U</w:t>
      </w:r>
      <w:r w:rsidRPr="00050561">
        <w:t xml:space="preserve">sing a thermal cycler, incubate at 20°C for </w:t>
      </w:r>
      <w:r>
        <w:t xml:space="preserve">30 </w:t>
      </w:r>
      <w:r w:rsidRPr="00050561">
        <w:t xml:space="preserve">minutes and 65°C for </w:t>
      </w:r>
      <w:r>
        <w:t>30</w:t>
      </w:r>
      <w:r w:rsidRPr="00050561">
        <w:t xml:space="preserve"> minutes.</w:t>
      </w:r>
      <w:r>
        <w:t xml:space="preserve"> </w:t>
      </w:r>
      <w:r w:rsidRPr="00050561">
        <w:t xml:space="preserve">Then cool down to </w:t>
      </w:r>
      <w:r>
        <w:t>room temperature</w:t>
      </w:r>
      <w:r w:rsidRPr="00050561">
        <w:t>.</w:t>
      </w:r>
      <w:r>
        <w:t xml:space="preserve"> Alternatively, </w:t>
      </w:r>
      <w:r w:rsidR="00EB2E88">
        <w:t>a heat block</w:t>
      </w:r>
      <w:r>
        <w:t xml:space="preserve"> and </w:t>
      </w:r>
      <w:r w:rsidRPr="00E9421F">
        <w:t>1.5</w:t>
      </w:r>
      <w:r w:rsidRPr="00AA0BD0">
        <w:t xml:space="preserve"> </w:t>
      </w:r>
      <w:r w:rsidRPr="00E9421F">
        <w:t>ml</w:t>
      </w:r>
      <w:r w:rsidRPr="00AA0BD0">
        <w:t xml:space="preserve"> </w:t>
      </w:r>
      <w:r w:rsidRPr="00E9421F">
        <w:t>Eppendorf</w:t>
      </w:r>
      <w:r w:rsidRPr="00AA0BD0">
        <w:t xml:space="preserve"> </w:t>
      </w:r>
      <w:r w:rsidRPr="00E9421F">
        <w:t>DNA</w:t>
      </w:r>
      <w:r w:rsidRPr="00AA0BD0">
        <w:t xml:space="preserve"> </w:t>
      </w:r>
      <w:proofErr w:type="spellStart"/>
      <w:r w:rsidRPr="00E9421F">
        <w:t>LoBind</w:t>
      </w:r>
      <w:proofErr w:type="spellEnd"/>
      <w:r w:rsidRPr="00AA0BD0">
        <w:t xml:space="preserve"> tube</w:t>
      </w:r>
      <w:r w:rsidRPr="00AA0BD0">
        <w:t>s</w:t>
      </w:r>
      <w:r>
        <w:t xml:space="preserve"> can be used.</w:t>
      </w:r>
    </w:p>
    <w:p w14:paraId="348889FD" w14:textId="781CCBD5" w:rsidR="00050561" w:rsidRPr="00050561" w:rsidRDefault="00050561" w:rsidP="00AA0BD0">
      <w:pPr>
        <w:pStyle w:val="Prrafodelista"/>
        <w:numPr>
          <w:ilvl w:val="0"/>
          <w:numId w:val="2"/>
        </w:numPr>
      </w:pPr>
      <w:r w:rsidRPr="00AA0BD0">
        <w:t xml:space="preserve">Resuspend the </w:t>
      </w:r>
      <w:proofErr w:type="spellStart"/>
      <w:r w:rsidRPr="00AA0BD0">
        <w:t>AMPure</w:t>
      </w:r>
      <w:proofErr w:type="spellEnd"/>
      <w:r w:rsidRPr="00AA0BD0">
        <w:t xml:space="preserve"> XP Beads (AXP) by </w:t>
      </w:r>
      <w:proofErr w:type="spellStart"/>
      <w:r w:rsidRPr="00AA0BD0">
        <w:t>vortexing</w:t>
      </w:r>
      <w:proofErr w:type="spellEnd"/>
      <w:r w:rsidR="00AA0BD0">
        <w:t>.</w:t>
      </w:r>
    </w:p>
    <w:p w14:paraId="4DFCD59F" w14:textId="5EDCE4A5" w:rsidR="00050561" w:rsidRPr="00050561" w:rsidRDefault="00050561" w:rsidP="00AA0BD0">
      <w:pPr>
        <w:pStyle w:val="Prrafodelista"/>
        <w:numPr>
          <w:ilvl w:val="0"/>
          <w:numId w:val="2"/>
        </w:numPr>
      </w:pPr>
      <w:r w:rsidRPr="00AA0BD0">
        <w:t xml:space="preserve">Spin down and transfer the DNA sample to a clean 1.5 ml Eppendorf DNA </w:t>
      </w:r>
      <w:proofErr w:type="spellStart"/>
      <w:r w:rsidRPr="00AA0BD0">
        <w:t>LoBind</w:t>
      </w:r>
      <w:proofErr w:type="spellEnd"/>
      <w:r w:rsidRPr="00AA0BD0">
        <w:t xml:space="preserve"> tube.</w:t>
      </w:r>
    </w:p>
    <w:p w14:paraId="668ABD93" w14:textId="3870596C" w:rsidR="00050561" w:rsidRDefault="00AA0BD0" w:rsidP="00AA0BD0">
      <w:pPr>
        <w:pStyle w:val="Prrafodelista"/>
        <w:numPr>
          <w:ilvl w:val="0"/>
          <w:numId w:val="2"/>
        </w:numPr>
      </w:pPr>
      <w:r>
        <w:t xml:space="preserve">Cleanup 1x. </w:t>
      </w:r>
      <w:r w:rsidR="00050561" w:rsidRPr="00AA0BD0">
        <w:t xml:space="preserve">Add 60 µl of resuspended </w:t>
      </w:r>
      <w:proofErr w:type="spellStart"/>
      <w:r w:rsidR="00D5059C" w:rsidRPr="00AA0BD0">
        <w:t>AMPure</w:t>
      </w:r>
      <w:proofErr w:type="spellEnd"/>
      <w:r w:rsidR="00050561" w:rsidRPr="00AA0BD0">
        <w:t xml:space="preserve"> XP Beads (AXP) to the end-prep reaction and mix by flicking the tube.</w:t>
      </w:r>
    </w:p>
    <w:p w14:paraId="7587F29D" w14:textId="2487AA58" w:rsidR="00050561" w:rsidRPr="00050561" w:rsidRDefault="00050561" w:rsidP="00AA0BD0">
      <w:pPr>
        <w:pStyle w:val="Prrafodelista"/>
        <w:numPr>
          <w:ilvl w:val="0"/>
          <w:numId w:val="2"/>
        </w:numPr>
      </w:pPr>
      <w:r w:rsidRPr="00AA0BD0">
        <w:t xml:space="preserve">Incubate for </w:t>
      </w:r>
      <w:r w:rsidR="00AA0BD0">
        <w:t>1</w:t>
      </w:r>
      <w:r w:rsidRPr="00AA0BD0">
        <w:t>5 minutes at room temperature</w:t>
      </w:r>
      <w:r w:rsidR="00AA0BD0">
        <w:t>.</w:t>
      </w:r>
    </w:p>
    <w:p w14:paraId="71E791D1" w14:textId="2E8BFDE6" w:rsidR="00050561" w:rsidRPr="00050561" w:rsidRDefault="00050561" w:rsidP="00AA0BD0">
      <w:pPr>
        <w:pStyle w:val="Prrafodelista"/>
        <w:numPr>
          <w:ilvl w:val="0"/>
          <w:numId w:val="2"/>
        </w:numPr>
      </w:pPr>
      <w:r w:rsidRPr="00AA0BD0">
        <w:t xml:space="preserve">Freshly prepare </w:t>
      </w:r>
      <w:r w:rsidR="003E0335">
        <w:t>1 ml</w:t>
      </w:r>
      <w:r w:rsidRPr="00AA0BD0">
        <w:t xml:space="preserve"> of 80% ethanol in nuclease-free water</w:t>
      </w:r>
      <w:r w:rsidR="00AA0BD0">
        <w:t>.</w:t>
      </w:r>
    </w:p>
    <w:p w14:paraId="41206082" w14:textId="5B8D259B" w:rsidR="00050561" w:rsidRPr="00050561" w:rsidRDefault="00050561" w:rsidP="00AA0BD0">
      <w:pPr>
        <w:pStyle w:val="Prrafodelista"/>
        <w:numPr>
          <w:ilvl w:val="0"/>
          <w:numId w:val="2"/>
        </w:numPr>
      </w:pPr>
      <w:r w:rsidRPr="00AA0BD0">
        <w:t xml:space="preserve">Spin down the sample and pellet on a magnet until supernatant is clear and </w:t>
      </w:r>
      <w:proofErr w:type="spellStart"/>
      <w:r w:rsidRPr="00AA0BD0">
        <w:t>colourless</w:t>
      </w:r>
      <w:proofErr w:type="spellEnd"/>
      <w:r w:rsidRPr="00AA0BD0">
        <w:t xml:space="preserve">. Keep the tube on the </w:t>
      </w:r>
      <w:proofErr w:type="gramStart"/>
      <w:r w:rsidRPr="00AA0BD0">
        <w:t>magnet, and</w:t>
      </w:r>
      <w:proofErr w:type="gramEnd"/>
      <w:r w:rsidRPr="00AA0BD0">
        <w:t xml:space="preserve"> pipette off the supernatant</w:t>
      </w:r>
      <w:r w:rsidR="006D0751">
        <w:t>.</w:t>
      </w:r>
    </w:p>
    <w:p w14:paraId="45A4E499" w14:textId="6A9599EB" w:rsidR="00050561" w:rsidRPr="00AA0BD0" w:rsidRDefault="00AA0BD0" w:rsidP="00AA0BD0">
      <w:pPr>
        <w:pStyle w:val="Prrafodelista"/>
        <w:numPr>
          <w:ilvl w:val="0"/>
          <w:numId w:val="2"/>
        </w:numPr>
      </w:pPr>
      <w:r w:rsidRPr="00AA0BD0">
        <w:t xml:space="preserve">Keep the tube on the magnet and wash the beads with </w:t>
      </w:r>
      <w:r w:rsidR="003E0335">
        <w:t>500</w:t>
      </w:r>
      <w:r w:rsidRPr="00AA0BD0">
        <w:t xml:space="preserve"> µl of freshly prepared 80% ethanol without disturbing the pellet. Remove the ethanol using a pipette and discard</w:t>
      </w:r>
      <w:r w:rsidR="003E0335">
        <w:t>.</w:t>
      </w:r>
    </w:p>
    <w:p w14:paraId="29452FD9" w14:textId="50E88DD7" w:rsidR="00AA0BD0" w:rsidRPr="00AA0BD0" w:rsidRDefault="00AA0BD0" w:rsidP="00AA0BD0">
      <w:pPr>
        <w:pStyle w:val="Prrafodelista"/>
        <w:numPr>
          <w:ilvl w:val="0"/>
          <w:numId w:val="2"/>
        </w:numPr>
      </w:pPr>
      <w:r w:rsidRPr="00AA0BD0">
        <w:t>Repeat the previous step</w:t>
      </w:r>
      <w:r w:rsidR="006D0751">
        <w:t>.</w:t>
      </w:r>
    </w:p>
    <w:p w14:paraId="02EFB791" w14:textId="0496457B" w:rsidR="00AA0BD0" w:rsidRPr="00AA0BD0" w:rsidRDefault="00AA0BD0" w:rsidP="00AA0BD0">
      <w:pPr>
        <w:pStyle w:val="Prrafodelista"/>
        <w:numPr>
          <w:ilvl w:val="0"/>
          <w:numId w:val="2"/>
        </w:numPr>
      </w:pPr>
      <w:r w:rsidRPr="00AA0BD0">
        <w:t>Spin down and place the tube back on the magnet. Pipette off any residual ethanol. Allow to dry for ~30 seconds, but do not dry the pellet to the point of cracking</w:t>
      </w:r>
      <w:r w:rsidR="006D0751">
        <w:t>.</w:t>
      </w:r>
    </w:p>
    <w:p w14:paraId="4EB86B37" w14:textId="3D64CBE5" w:rsidR="00AA0BD0" w:rsidRPr="00AA0BD0" w:rsidRDefault="00AA0BD0" w:rsidP="00AA0BD0">
      <w:pPr>
        <w:pStyle w:val="Prrafodelista"/>
        <w:numPr>
          <w:ilvl w:val="0"/>
          <w:numId w:val="2"/>
        </w:numPr>
      </w:pPr>
      <w:r w:rsidRPr="00AA0BD0">
        <w:t xml:space="preserve">Remove the tube from the magnetic rack and resuspend the pellet in 61 µl nuclease-free water by flicking the tube. Incubate for </w:t>
      </w:r>
      <w:r>
        <w:t>1h 30min at 37ºC.</w:t>
      </w:r>
    </w:p>
    <w:p w14:paraId="49FAC9E0" w14:textId="4322B8F2" w:rsidR="00AA0BD0" w:rsidRPr="00AA0BD0" w:rsidRDefault="00AA0BD0" w:rsidP="00AA0BD0">
      <w:pPr>
        <w:pStyle w:val="Prrafodelista"/>
        <w:numPr>
          <w:ilvl w:val="0"/>
          <w:numId w:val="2"/>
        </w:numPr>
      </w:pPr>
      <w:r>
        <w:t>Spin down the tube and p</w:t>
      </w:r>
      <w:r w:rsidRPr="00AA0BD0">
        <w:t xml:space="preserve">ellet the beads on a magnet until the </w:t>
      </w:r>
      <w:proofErr w:type="gramStart"/>
      <w:r w:rsidRPr="00AA0BD0">
        <w:t>eluate</w:t>
      </w:r>
      <w:proofErr w:type="gramEnd"/>
      <w:r w:rsidRPr="00AA0BD0">
        <w:t xml:space="preserve"> is clear and </w:t>
      </w:r>
      <w:proofErr w:type="spellStart"/>
      <w:r w:rsidRPr="00AA0BD0">
        <w:t>colourless</w:t>
      </w:r>
      <w:proofErr w:type="spellEnd"/>
      <w:r w:rsidRPr="00AA0BD0">
        <w:t>, for at least 1 minute</w:t>
      </w:r>
      <w:r>
        <w:t>.</w:t>
      </w:r>
    </w:p>
    <w:p w14:paraId="136966FE" w14:textId="77777777" w:rsidR="00276C18" w:rsidRDefault="00AA0BD0" w:rsidP="00276C18">
      <w:pPr>
        <w:pStyle w:val="Prrafodelista"/>
        <w:numPr>
          <w:ilvl w:val="0"/>
          <w:numId w:val="2"/>
        </w:numPr>
      </w:pPr>
      <w:r w:rsidRPr="00AA0BD0">
        <w:t>Remove and retain 6</w:t>
      </w:r>
      <w:r>
        <w:t>0</w:t>
      </w:r>
      <w:r w:rsidRPr="00AA0BD0">
        <w:t xml:space="preserve"> µl of eluate into a clean 1.5 ml Eppendorf DNA </w:t>
      </w:r>
      <w:proofErr w:type="spellStart"/>
      <w:r w:rsidRPr="00AA0BD0">
        <w:t>LoBind</w:t>
      </w:r>
      <w:proofErr w:type="spellEnd"/>
      <w:r w:rsidRPr="00AA0BD0">
        <w:t xml:space="preserve"> tube</w:t>
      </w:r>
      <w:r>
        <w:t>.</w:t>
      </w:r>
      <w:r w:rsidR="001E7139">
        <w:t xml:space="preserve"> Use wide bore tips.</w:t>
      </w:r>
    </w:p>
    <w:p w14:paraId="53C25E98" w14:textId="2D6DF0E2" w:rsidR="00AA0BD0" w:rsidRDefault="00276C18" w:rsidP="00276C18">
      <w:pPr>
        <w:pStyle w:val="Prrafodelista"/>
        <w:numPr>
          <w:ilvl w:val="0"/>
          <w:numId w:val="2"/>
        </w:numPr>
      </w:pPr>
      <w:r>
        <w:t xml:space="preserve"> The sample can progress to adapter ligation or be stored a</w:t>
      </w:r>
      <w:r w:rsidR="00AA0BD0">
        <w:t>t 4ºC overnight.</w:t>
      </w:r>
    </w:p>
    <w:p w14:paraId="75C31409" w14:textId="77777777" w:rsidR="00AA0BD0" w:rsidRDefault="00AA0BD0" w:rsidP="00AA0BD0">
      <w:pPr>
        <w:pStyle w:val="Prrafodelista"/>
        <w:ind w:left="1080"/>
      </w:pPr>
    </w:p>
    <w:p w14:paraId="089F917D" w14:textId="5FC46E57" w:rsidR="00AA0BD0" w:rsidRDefault="00AA0BD0" w:rsidP="00AA0BD0">
      <w:pPr>
        <w:rPr>
          <w:rFonts w:ascii="Arial Black"/>
          <w:spacing w:val="-2"/>
        </w:rPr>
      </w:pPr>
      <w:r w:rsidRPr="00AA0BD0">
        <w:rPr>
          <w:rFonts w:ascii="Arial Black"/>
          <w:spacing w:val="-2"/>
        </w:rPr>
        <w:t>Adapter ligation and clean-up</w:t>
      </w:r>
    </w:p>
    <w:p w14:paraId="4F10BEE7" w14:textId="77777777" w:rsidR="00BE3423" w:rsidRDefault="00BE3423" w:rsidP="00014140">
      <w:pPr>
        <w:pStyle w:val="Prrafodelista"/>
        <w:numPr>
          <w:ilvl w:val="0"/>
          <w:numId w:val="7"/>
        </w:numPr>
      </w:pPr>
      <w:r>
        <w:t>Prepare all the reagents.</w:t>
      </w:r>
    </w:p>
    <w:p w14:paraId="74B1DD21" w14:textId="32DD2029" w:rsidR="00014140" w:rsidRPr="00014140" w:rsidRDefault="00014140" w:rsidP="00BE3423">
      <w:pPr>
        <w:pStyle w:val="Prrafodelista"/>
        <w:numPr>
          <w:ilvl w:val="0"/>
          <w:numId w:val="3"/>
        </w:numPr>
      </w:pPr>
      <w:r w:rsidRPr="00014140">
        <w:t xml:space="preserve">Spin down the Ligation Adapter (LA) and Salt-T4® DNA Ligase, and </w:t>
      </w:r>
      <w:proofErr w:type="gramStart"/>
      <w:r w:rsidRPr="00014140">
        <w:t>place</w:t>
      </w:r>
      <w:proofErr w:type="gramEnd"/>
      <w:r w:rsidRPr="00014140">
        <w:t xml:space="preserve"> on ice.</w:t>
      </w:r>
    </w:p>
    <w:p w14:paraId="2EDE6109" w14:textId="4ACCB144" w:rsidR="00014140" w:rsidRPr="00014140" w:rsidRDefault="00014140" w:rsidP="00BE3423">
      <w:pPr>
        <w:pStyle w:val="Prrafodelista"/>
        <w:numPr>
          <w:ilvl w:val="0"/>
          <w:numId w:val="3"/>
        </w:numPr>
      </w:pPr>
      <w:r w:rsidRPr="00014140">
        <w:t xml:space="preserve">Thaw Ligation Buffer (LNB) at room temperature, spin down and mix by pipetting. Due to viscosity, </w:t>
      </w:r>
      <w:proofErr w:type="spellStart"/>
      <w:r w:rsidRPr="00014140">
        <w:t>vortexing</w:t>
      </w:r>
      <w:proofErr w:type="spellEnd"/>
      <w:r w:rsidRPr="00014140">
        <w:t xml:space="preserve"> this buffer is ineffective. Place on ice immediately after thawing and mixing</w:t>
      </w:r>
      <w:r>
        <w:t>.</w:t>
      </w:r>
    </w:p>
    <w:p w14:paraId="1818F031" w14:textId="05647CF4" w:rsidR="00014140" w:rsidRDefault="00014140" w:rsidP="00BE3423">
      <w:pPr>
        <w:pStyle w:val="Prrafodelista"/>
        <w:numPr>
          <w:ilvl w:val="0"/>
          <w:numId w:val="3"/>
        </w:numPr>
      </w:pPr>
      <w:r w:rsidRPr="00014140">
        <w:t xml:space="preserve">Thaw the Elution Buffer (EB) at room temperature and mix by </w:t>
      </w:r>
      <w:proofErr w:type="spellStart"/>
      <w:r w:rsidRPr="00014140">
        <w:t>vortexing</w:t>
      </w:r>
      <w:proofErr w:type="spellEnd"/>
      <w:r w:rsidRPr="00014140">
        <w:t>. Then spin down and place on ice</w:t>
      </w:r>
      <w:r>
        <w:t>.</w:t>
      </w:r>
    </w:p>
    <w:p w14:paraId="66EC1F3B" w14:textId="12BB3146" w:rsidR="00014140" w:rsidRDefault="00014140" w:rsidP="00BE3423">
      <w:pPr>
        <w:pStyle w:val="Prrafodelista"/>
        <w:numPr>
          <w:ilvl w:val="0"/>
          <w:numId w:val="3"/>
        </w:numPr>
      </w:pPr>
      <w:r w:rsidRPr="005A513F">
        <w:t xml:space="preserve">Thaw </w:t>
      </w:r>
      <w:r w:rsidRPr="005A513F">
        <w:t xml:space="preserve">the </w:t>
      </w:r>
      <w:r w:rsidRPr="005A513F">
        <w:t xml:space="preserve">Short Fragment Buffer (SFB) at room temperature and mix by </w:t>
      </w:r>
      <w:proofErr w:type="spellStart"/>
      <w:r w:rsidRPr="005A513F">
        <w:t>vortexing</w:t>
      </w:r>
      <w:proofErr w:type="spellEnd"/>
      <w:r w:rsidRPr="005A513F">
        <w:t>.</w:t>
      </w:r>
      <w:r w:rsidR="000856D1">
        <w:t xml:space="preserve"> </w:t>
      </w:r>
      <w:r w:rsidRPr="005A513F">
        <w:t>Then spin down and keep at room temperature.</w:t>
      </w:r>
    </w:p>
    <w:p w14:paraId="7EE56053" w14:textId="77777777" w:rsidR="00276C18" w:rsidRPr="00014140" w:rsidRDefault="00276C18" w:rsidP="00562560">
      <w:pPr>
        <w:pStyle w:val="Prrafodelista"/>
        <w:ind w:left="1080"/>
      </w:pPr>
    </w:p>
    <w:p w14:paraId="0A19855B" w14:textId="513BE9DB" w:rsidR="00014140" w:rsidRPr="00014140" w:rsidRDefault="00014140" w:rsidP="00014140">
      <w:pPr>
        <w:pStyle w:val="Prrafodelista"/>
        <w:numPr>
          <w:ilvl w:val="0"/>
          <w:numId w:val="7"/>
        </w:numPr>
      </w:pPr>
      <w:r w:rsidRPr="005A513F">
        <w:lastRenderedPageBreak/>
        <w:t xml:space="preserve">In a 1.5 ml Eppendorf DNA </w:t>
      </w:r>
      <w:proofErr w:type="spellStart"/>
      <w:r w:rsidRPr="005A513F">
        <w:t>LoBind</w:t>
      </w:r>
      <w:proofErr w:type="spellEnd"/>
      <w:r w:rsidRPr="005A513F">
        <w:t xml:space="preserve"> tube, mix in the following order: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954"/>
      </w:tblGrid>
      <w:tr w:rsidR="005517C7" w:rsidRPr="005517C7" w14:paraId="4E9AAEAE" w14:textId="77777777" w:rsidTr="005517C7">
        <w:trPr>
          <w:trHeight w:val="419"/>
          <w:jc w:val="center"/>
        </w:trPr>
        <w:tc>
          <w:tcPr>
            <w:tcW w:w="4362" w:type="dxa"/>
            <w:shd w:val="clear" w:color="auto" w:fill="C1E4F5" w:themeFill="accent1" w:themeFillTint="33"/>
          </w:tcPr>
          <w:p w14:paraId="1FCA60E4" w14:textId="77777777" w:rsidR="005517C7" w:rsidRPr="005517C7" w:rsidRDefault="005517C7" w:rsidP="005517C7">
            <w:pPr>
              <w:pStyle w:val="TableParagraph"/>
              <w:spacing w:before="65"/>
              <w:ind w:left="99"/>
              <w:rPr>
                <w:rFonts w:ascii="Arial Black"/>
                <w:spacing w:val="-2"/>
                <w:sz w:val="20"/>
              </w:rPr>
            </w:pPr>
            <w:r w:rsidRPr="005517C7">
              <w:rPr>
                <w:rFonts w:ascii="Arial Black"/>
                <w:spacing w:val="-2"/>
                <w:sz w:val="20"/>
              </w:rPr>
              <w:t>Reagent</w:t>
            </w:r>
          </w:p>
        </w:tc>
        <w:tc>
          <w:tcPr>
            <w:tcW w:w="1954" w:type="dxa"/>
            <w:shd w:val="clear" w:color="auto" w:fill="C1E4F5" w:themeFill="accent1" w:themeFillTint="33"/>
          </w:tcPr>
          <w:p w14:paraId="31F3C366" w14:textId="77777777" w:rsidR="005517C7" w:rsidRPr="005517C7" w:rsidRDefault="005517C7" w:rsidP="005517C7">
            <w:pPr>
              <w:pStyle w:val="TableParagraph"/>
              <w:spacing w:before="65"/>
              <w:ind w:left="99"/>
              <w:rPr>
                <w:rFonts w:ascii="Arial Black"/>
                <w:spacing w:val="-2"/>
                <w:sz w:val="20"/>
              </w:rPr>
            </w:pPr>
            <w:r w:rsidRPr="005517C7">
              <w:rPr>
                <w:rFonts w:ascii="Arial Black"/>
                <w:spacing w:val="-2"/>
                <w:sz w:val="20"/>
              </w:rPr>
              <w:t>Volume</w:t>
            </w:r>
          </w:p>
        </w:tc>
      </w:tr>
      <w:tr w:rsidR="005517C7" w14:paraId="529558A5" w14:textId="77777777" w:rsidTr="005517C7">
        <w:trPr>
          <w:trHeight w:val="419"/>
          <w:jc w:val="center"/>
        </w:trPr>
        <w:tc>
          <w:tcPr>
            <w:tcW w:w="4362" w:type="dxa"/>
          </w:tcPr>
          <w:p w14:paraId="1F2C30FD" w14:textId="77777777" w:rsidR="005517C7" w:rsidRDefault="005517C7" w:rsidP="007A5C84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color w:val="333333"/>
                <w:w w:val="110"/>
                <w:sz w:val="20"/>
              </w:rPr>
              <w:t>DNA</w:t>
            </w:r>
            <w:r>
              <w:rPr>
                <w:color w:val="333333"/>
                <w:spacing w:val="-2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20"/>
              </w:rPr>
              <w:t>sample</w:t>
            </w:r>
            <w:r>
              <w:rPr>
                <w:color w:val="333333"/>
                <w:spacing w:val="-1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20"/>
              </w:rPr>
              <w:t>from</w:t>
            </w:r>
            <w:r>
              <w:rPr>
                <w:color w:val="333333"/>
                <w:spacing w:val="-1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20"/>
              </w:rPr>
              <w:t>the</w:t>
            </w:r>
            <w:r>
              <w:rPr>
                <w:color w:val="333333"/>
                <w:spacing w:val="-1"/>
                <w:w w:val="110"/>
                <w:sz w:val="20"/>
              </w:rPr>
              <w:t xml:space="preserve"> </w:t>
            </w:r>
            <w:r>
              <w:rPr>
                <w:color w:val="333333"/>
                <w:w w:val="110"/>
                <w:sz w:val="20"/>
              </w:rPr>
              <w:t>previous</w:t>
            </w:r>
            <w:r>
              <w:rPr>
                <w:color w:val="333333"/>
                <w:spacing w:val="-1"/>
                <w:w w:val="110"/>
                <w:sz w:val="20"/>
              </w:rPr>
              <w:t xml:space="preserve"> </w:t>
            </w:r>
            <w:r>
              <w:rPr>
                <w:color w:val="333333"/>
                <w:spacing w:val="-4"/>
                <w:w w:val="110"/>
                <w:sz w:val="20"/>
              </w:rPr>
              <w:t>step</w:t>
            </w:r>
          </w:p>
        </w:tc>
        <w:tc>
          <w:tcPr>
            <w:tcW w:w="1954" w:type="dxa"/>
          </w:tcPr>
          <w:p w14:paraId="7D602356" w14:textId="77777777" w:rsidR="005517C7" w:rsidRDefault="005517C7" w:rsidP="007A5C84">
            <w:pPr>
              <w:pStyle w:val="TableParagraph"/>
              <w:spacing w:before="82"/>
              <w:ind w:left="762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60</w:t>
            </w:r>
            <w:r>
              <w:rPr>
                <w:color w:val="333333"/>
                <w:spacing w:val="-3"/>
                <w:w w:val="110"/>
                <w:sz w:val="20"/>
              </w:rPr>
              <w:t xml:space="preserve"> </w:t>
            </w:r>
            <w:r>
              <w:rPr>
                <w:color w:val="333333"/>
                <w:spacing w:val="-5"/>
                <w:w w:val="110"/>
                <w:sz w:val="20"/>
              </w:rPr>
              <w:t>µl</w:t>
            </w:r>
          </w:p>
        </w:tc>
      </w:tr>
      <w:tr w:rsidR="005517C7" w14:paraId="3630DBBE" w14:textId="77777777" w:rsidTr="005517C7">
        <w:trPr>
          <w:trHeight w:val="419"/>
          <w:jc w:val="center"/>
        </w:trPr>
        <w:tc>
          <w:tcPr>
            <w:tcW w:w="4362" w:type="dxa"/>
          </w:tcPr>
          <w:p w14:paraId="467681E4" w14:textId="77777777" w:rsidR="005517C7" w:rsidRDefault="005517C7" w:rsidP="007A5C84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Ligation</w:t>
            </w:r>
            <w:r>
              <w:rPr>
                <w:color w:val="333333"/>
                <w:spacing w:val="4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Adapter</w:t>
            </w:r>
            <w:r>
              <w:rPr>
                <w:color w:val="333333"/>
                <w:spacing w:val="48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20"/>
              </w:rPr>
              <w:t>(LA)</w:t>
            </w:r>
          </w:p>
        </w:tc>
        <w:tc>
          <w:tcPr>
            <w:tcW w:w="1954" w:type="dxa"/>
          </w:tcPr>
          <w:p w14:paraId="4B61DA66" w14:textId="77777777" w:rsidR="005517C7" w:rsidRDefault="005517C7" w:rsidP="007A5C84">
            <w:pPr>
              <w:pStyle w:val="TableParagraph"/>
              <w:spacing w:before="82"/>
              <w:ind w:left="762"/>
              <w:rPr>
                <w:sz w:val="20"/>
              </w:rPr>
            </w:pPr>
            <w:r>
              <w:rPr>
                <w:color w:val="333333"/>
                <w:w w:val="110"/>
                <w:sz w:val="20"/>
              </w:rPr>
              <w:t>5</w:t>
            </w:r>
            <w:r>
              <w:rPr>
                <w:color w:val="333333"/>
                <w:spacing w:val="-9"/>
                <w:w w:val="110"/>
                <w:sz w:val="20"/>
              </w:rPr>
              <w:t xml:space="preserve"> </w:t>
            </w:r>
            <w:r>
              <w:rPr>
                <w:color w:val="333333"/>
                <w:spacing w:val="-5"/>
                <w:w w:val="110"/>
                <w:sz w:val="20"/>
              </w:rPr>
              <w:t>µl</w:t>
            </w:r>
          </w:p>
        </w:tc>
      </w:tr>
      <w:tr w:rsidR="005517C7" w14:paraId="6EB732F6" w14:textId="77777777" w:rsidTr="005517C7">
        <w:trPr>
          <w:trHeight w:val="419"/>
          <w:jc w:val="center"/>
        </w:trPr>
        <w:tc>
          <w:tcPr>
            <w:tcW w:w="4362" w:type="dxa"/>
          </w:tcPr>
          <w:p w14:paraId="0B6AD846" w14:textId="77777777" w:rsidR="005517C7" w:rsidRDefault="005517C7" w:rsidP="007A5C84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Ligation</w:t>
            </w:r>
            <w:r>
              <w:rPr>
                <w:color w:val="333333"/>
                <w:spacing w:val="5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Buffer</w:t>
            </w:r>
            <w:r>
              <w:rPr>
                <w:color w:val="333333"/>
                <w:spacing w:val="51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20"/>
              </w:rPr>
              <w:t>(LNB)</w:t>
            </w:r>
          </w:p>
        </w:tc>
        <w:tc>
          <w:tcPr>
            <w:tcW w:w="1954" w:type="dxa"/>
          </w:tcPr>
          <w:p w14:paraId="1CF7BD83" w14:textId="77777777" w:rsidR="005517C7" w:rsidRDefault="005517C7" w:rsidP="007A5C84">
            <w:pPr>
              <w:pStyle w:val="TableParagraph"/>
              <w:spacing w:before="82"/>
              <w:ind w:left="762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25</w:t>
            </w:r>
            <w:r>
              <w:rPr>
                <w:color w:val="333333"/>
                <w:spacing w:val="-3"/>
                <w:w w:val="110"/>
                <w:sz w:val="20"/>
              </w:rPr>
              <w:t xml:space="preserve"> </w:t>
            </w:r>
            <w:r>
              <w:rPr>
                <w:color w:val="333333"/>
                <w:spacing w:val="-5"/>
                <w:w w:val="110"/>
                <w:sz w:val="20"/>
              </w:rPr>
              <w:t>µl</w:t>
            </w:r>
          </w:p>
        </w:tc>
      </w:tr>
      <w:tr w:rsidR="005517C7" w14:paraId="7F57DB44" w14:textId="77777777" w:rsidTr="005517C7">
        <w:trPr>
          <w:trHeight w:val="419"/>
          <w:jc w:val="center"/>
        </w:trPr>
        <w:tc>
          <w:tcPr>
            <w:tcW w:w="4362" w:type="dxa"/>
          </w:tcPr>
          <w:p w14:paraId="052AEFE5" w14:textId="77777777" w:rsidR="005517C7" w:rsidRDefault="005517C7" w:rsidP="007A5C84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color w:val="333333"/>
                <w:sz w:val="20"/>
              </w:rPr>
              <w:t>Salt-T4®</w:t>
            </w:r>
            <w:r>
              <w:rPr>
                <w:color w:val="333333"/>
                <w:spacing w:val="2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DNA</w:t>
            </w:r>
            <w:r>
              <w:rPr>
                <w:color w:val="333333"/>
                <w:spacing w:val="2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Ligase</w:t>
            </w:r>
          </w:p>
        </w:tc>
        <w:tc>
          <w:tcPr>
            <w:tcW w:w="1954" w:type="dxa"/>
          </w:tcPr>
          <w:p w14:paraId="5B41E6A7" w14:textId="77777777" w:rsidR="005517C7" w:rsidRDefault="005517C7" w:rsidP="007A5C84">
            <w:pPr>
              <w:pStyle w:val="TableParagraph"/>
              <w:spacing w:before="82"/>
              <w:ind w:left="762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10</w:t>
            </w:r>
            <w:r>
              <w:rPr>
                <w:color w:val="333333"/>
                <w:spacing w:val="-3"/>
                <w:w w:val="110"/>
                <w:sz w:val="20"/>
              </w:rPr>
              <w:t xml:space="preserve"> </w:t>
            </w:r>
            <w:r>
              <w:rPr>
                <w:color w:val="333333"/>
                <w:spacing w:val="-5"/>
                <w:w w:val="110"/>
                <w:sz w:val="20"/>
              </w:rPr>
              <w:t>µl</w:t>
            </w:r>
          </w:p>
        </w:tc>
      </w:tr>
      <w:tr w:rsidR="005517C7" w14:paraId="0C8926D7" w14:textId="77777777" w:rsidTr="005517C7">
        <w:trPr>
          <w:trHeight w:val="419"/>
          <w:jc w:val="center"/>
        </w:trPr>
        <w:tc>
          <w:tcPr>
            <w:tcW w:w="4362" w:type="dxa"/>
          </w:tcPr>
          <w:p w14:paraId="6883B27E" w14:textId="77777777" w:rsidR="005517C7" w:rsidRDefault="005517C7" w:rsidP="007A5C84">
            <w:pPr>
              <w:pStyle w:val="TableParagraph"/>
              <w:spacing w:before="50"/>
              <w:ind w:left="99"/>
              <w:rPr>
                <w:rFonts w:ascii="Arial Black"/>
                <w:sz w:val="20"/>
              </w:rPr>
            </w:pPr>
            <w:r>
              <w:rPr>
                <w:rFonts w:ascii="Arial Black"/>
                <w:color w:val="333333"/>
                <w:spacing w:val="-2"/>
                <w:sz w:val="20"/>
              </w:rPr>
              <w:t>Total</w:t>
            </w:r>
          </w:p>
        </w:tc>
        <w:tc>
          <w:tcPr>
            <w:tcW w:w="1954" w:type="dxa"/>
          </w:tcPr>
          <w:p w14:paraId="1F63701B" w14:textId="77777777" w:rsidR="005517C7" w:rsidRDefault="005517C7" w:rsidP="007A5C84">
            <w:pPr>
              <w:pStyle w:val="TableParagraph"/>
              <w:spacing w:before="50"/>
              <w:ind w:left="762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333333"/>
                <w:w w:val="85"/>
                <w:sz w:val="20"/>
              </w:rPr>
              <w:t>100</w:t>
            </w:r>
            <w:r>
              <w:rPr>
                <w:rFonts w:ascii="Arial Black" w:hAnsi="Arial Black"/>
                <w:color w:val="333333"/>
                <w:spacing w:val="3"/>
                <w:sz w:val="20"/>
              </w:rPr>
              <w:t xml:space="preserve"> </w:t>
            </w:r>
            <w:r>
              <w:rPr>
                <w:rFonts w:ascii="Arial Black" w:hAnsi="Arial Black"/>
                <w:color w:val="333333"/>
                <w:spacing w:val="-5"/>
                <w:sz w:val="20"/>
              </w:rPr>
              <w:t>µl</w:t>
            </w:r>
          </w:p>
        </w:tc>
      </w:tr>
    </w:tbl>
    <w:p w14:paraId="64874FDB" w14:textId="77777777" w:rsidR="005A513F" w:rsidRDefault="005A513F" w:rsidP="005A513F">
      <w:pPr>
        <w:pStyle w:val="Prrafodelista"/>
      </w:pPr>
    </w:p>
    <w:p w14:paraId="0C832FB8" w14:textId="517DDCAA" w:rsidR="00014140" w:rsidRPr="00014140" w:rsidRDefault="00014140" w:rsidP="00014140">
      <w:pPr>
        <w:pStyle w:val="Prrafodelista"/>
        <w:numPr>
          <w:ilvl w:val="0"/>
          <w:numId w:val="7"/>
        </w:numPr>
      </w:pPr>
      <w:r w:rsidRPr="005A513F">
        <w:t xml:space="preserve">Thoroughly mix the reaction by </w:t>
      </w:r>
      <w:r w:rsidRPr="005A513F">
        <w:t>flicking the tube</w:t>
      </w:r>
      <w:r w:rsidRPr="005A513F">
        <w:t xml:space="preserve"> and briefly spinning down</w:t>
      </w:r>
      <w:r w:rsidRPr="005A513F">
        <w:t>.</w:t>
      </w:r>
    </w:p>
    <w:p w14:paraId="41D2798A" w14:textId="2F4A992D" w:rsidR="00014140" w:rsidRPr="00014140" w:rsidRDefault="00014140" w:rsidP="00014140">
      <w:pPr>
        <w:pStyle w:val="Prrafodelista"/>
        <w:numPr>
          <w:ilvl w:val="0"/>
          <w:numId w:val="7"/>
        </w:numPr>
      </w:pPr>
      <w:r w:rsidRPr="005A513F">
        <w:t xml:space="preserve">Incubate the reaction for </w:t>
      </w:r>
      <w:r w:rsidRPr="005A513F">
        <w:t>1 hour</w:t>
      </w:r>
      <w:r w:rsidRPr="005A513F">
        <w:t xml:space="preserve"> at</w:t>
      </w:r>
      <w:r w:rsidRPr="005A513F">
        <w:t xml:space="preserve"> 20ºC or </w:t>
      </w:r>
      <w:r w:rsidRPr="005A513F">
        <w:t>room temperature.</w:t>
      </w:r>
    </w:p>
    <w:p w14:paraId="3A8F8A61" w14:textId="77777777" w:rsidR="00014140" w:rsidRPr="00050561" w:rsidRDefault="00014140" w:rsidP="00014140">
      <w:pPr>
        <w:pStyle w:val="Prrafodelista"/>
        <w:numPr>
          <w:ilvl w:val="0"/>
          <w:numId w:val="7"/>
        </w:numPr>
      </w:pPr>
      <w:r w:rsidRPr="00AA0BD0">
        <w:t xml:space="preserve">Resuspend the </w:t>
      </w:r>
      <w:proofErr w:type="spellStart"/>
      <w:r w:rsidRPr="00AA0BD0">
        <w:t>AMPure</w:t>
      </w:r>
      <w:proofErr w:type="spellEnd"/>
      <w:r w:rsidRPr="00AA0BD0">
        <w:t xml:space="preserve"> XP Beads (AXP) by </w:t>
      </w:r>
      <w:proofErr w:type="spellStart"/>
      <w:r w:rsidRPr="00AA0BD0">
        <w:t>vortexing</w:t>
      </w:r>
      <w:proofErr w:type="spellEnd"/>
      <w:r>
        <w:t>.</w:t>
      </w:r>
    </w:p>
    <w:p w14:paraId="6E58814A" w14:textId="6306C748" w:rsidR="00014140" w:rsidRDefault="00014140" w:rsidP="00014140">
      <w:pPr>
        <w:pStyle w:val="Prrafodelista"/>
        <w:numPr>
          <w:ilvl w:val="0"/>
          <w:numId w:val="7"/>
        </w:numPr>
      </w:pPr>
      <w:r>
        <w:t xml:space="preserve">Cleanup </w:t>
      </w:r>
      <w:r>
        <w:t>0.4</w:t>
      </w:r>
      <w:r>
        <w:t xml:space="preserve">x. </w:t>
      </w:r>
      <w:r w:rsidRPr="00AA0BD0">
        <w:t xml:space="preserve">Add </w:t>
      </w:r>
      <w:r>
        <w:t>4</w:t>
      </w:r>
      <w:r w:rsidRPr="00AA0BD0">
        <w:t xml:space="preserve">0 µl of resuspended </w:t>
      </w:r>
      <w:proofErr w:type="gramStart"/>
      <w:r w:rsidRPr="00AA0BD0">
        <w:t xml:space="preserve">the </w:t>
      </w:r>
      <w:proofErr w:type="spellStart"/>
      <w:r w:rsidRPr="00AA0BD0">
        <w:t>AMPure</w:t>
      </w:r>
      <w:proofErr w:type="spellEnd"/>
      <w:proofErr w:type="gramEnd"/>
      <w:r w:rsidRPr="00AA0BD0">
        <w:t xml:space="preserve"> XP Beads (AXP) to the reaction</w:t>
      </w:r>
      <w:r>
        <w:t xml:space="preserve"> </w:t>
      </w:r>
      <w:r w:rsidRPr="00AA0BD0">
        <w:t>and mix by flicking the tube.</w:t>
      </w:r>
    </w:p>
    <w:p w14:paraId="05344E0D" w14:textId="77777777" w:rsidR="00014140" w:rsidRDefault="00014140" w:rsidP="00014140">
      <w:pPr>
        <w:pStyle w:val="Prrafodelista"/>
        <w:numPr>
          <w:ilvl w:val="0"/>
          <w:numId w:val="7"/>
        </w:numPr>
      </w:pPr>
      <w:r w:rsidRPr="00AA0BD0">
        <w:t xml:space="preserve">Incubate for </w:t>
      </w:r>
      <w:r>
        <w:t>1</w:t>
      </w:r>
      <w:r w:rsidRPr="00AA0BD0">
        <w:t>5 minutes at room temperature</w:t>
      </w:r>
      <w:r>
        <w:t>.</w:t>
      </w:r>
    </w:p>
    <w:p w14:paraId="2071F49D" w14:textId="5C2D1014" w:rsidR="00014140" w:rsidRPr="00014140" w:rsidRDefault="00014140" w:rsidP="00014140">
      <w:pPr>
        <w:pStyle w:val="Prrafodelista"/>
        <w:numPr>
          <w:ilvl w:val="0"/>
          <w:numId w:val="7"/>
        </w:numPr>
      </w:pPr>
      <w:r w:rsidRPr="00AA0BD0">
        <w:t>Spin down the sample and pellet on a magnet until supernatant is clear and</w:t>
      </w:r>
      <w:r>
        <w:t xml:space="preserve"> </w:t>
      </w:r>
      <w:proofErr w:type="spellStart"/>
      <w:r w:rsidRPr="00AA0BD0">
        <w:t>colourless</w:t>
      </w:r>
      <w:proofErr w:type="spellEnd"/>
      <w:r w:rsidRPr="00AA0BD0">
        <w:t xml:space="preserve">. Keep the tube on the </w:t>
      </w:r>
      <w:r w:rsidR="000856D1" w:rsidRPr="00AA0BD0">
        <w:t>magnet and</w:t>
      </w:r>
      <w:r w:rsidRPr="00AA0BD0">
        <w:t xml:space="preserve"> pipette off the </w:t>
      </w:r>
      <w:r>
        <w:t>supernatant.</w:t>
      </w:r>
    </w:p>
    <w:p w14:paraId="0ADB7685" w14:textId="162759BD" w:rsidR="00014140" w:rsidRDefault="00014140" w:rsidP="00014140">
      <w:pPr>
        <w:pStyle w:val="Prrafodelista"/>
        <w:numPr>
          <w:ilvl w:val="0"/>
          <w:numId w:val="7"/>
        </w:numPr>
      </w:pPr>
      <w:r>
        <w:t xml:space="preserve">Wash </w:t>
      </w:r>
      <w:r w:rsidRPr="00014140">
        <w:t xml:space="preserve">the beads by adding 250 </w:t>
      </w:r>
      <w:proofErr w:type="spellStart"/>
      <w:r w:rsidRPr="00014140">
        <w:t>μl</w:t>
      </w:r>
      <w:proofErr w:type="spellEnd"/>
      <w:r w:rsidRPr="00014140">
        <w:t xml:space="preserve"> Short Fragment Buffer (SFB). Flick the beads to resuspend, spin down, then return the tube to the magnetic rack and allow the beads to pellet. Remove the supernatant using a pipette and discard.</w:t>
      </w:r>
    </w:p>
    <w:p w14:paraId="02C0A861" w14:textId="77777777" w:rsidR="00014140" w:rsidRPr="00AA0BD0" w:rsidRDefault="00014140" w:rsidP="00014140">
      <w:pPr>
        <w:pStyle w:val="Prrafodelista"/>
        <w:numPr>
          <w:ilvl w:val="0"/>
          <w:numId w:val="7"/>
        </w:numPr>
      </w:pPr>
      <w:r w:rsidRPr="00AA0BD0">
        <w:t>Repeat the previous step</w:t>
      </w:r>
    </w:p>
    <w:p w14:paraId="34085367" w14:textId="22D3F59A" w:rsidR="00014140" w:rsidRPr="00AA0BD0" w:rsidRDefault="00014140" w:rsidP="00014140">
      <w:pPr>
        <w:pStyle w:val="Prrafodelista"/>
        <w:numPr>
          <w:ilvl w:val="0"/>
          <w:numId w:val="7"/>
        </w:numPr>
      </w:pPr>
      <w:r w:rsidRPr="00AA0BD0">
        <w:t xml:space="preserve">Spin down and place the tube back on the magnet. Pipette off any residual </w:t>
      </w:r>
      <w:proofErr w:type="spellStart"/>
      <w:r w:rsidR="005A513F">
        <w:t>supernantant</w:t>
      </w:r>
      <w:proofErr w:type="spellEnd"/>
      <w:r w:rsidRPr="00AA0BD0">
        <w:t>. Allow to dry for ~30 seconds, but do not dry the pellet to the point of cracking</w:t>
      </w:r>
    </w:p>
    <w:p w14:paraId="3E7458CF" w14:textId="70914731" w:rsidR="00014140" w:rsidRPr="00AA0BD0" w:rsidRDefault="00014140" w:rsidP="00014140">
      <w:pPr>
        <w:pStyle w:val="Prrafodelista"/>
        <w:numPr>
          <w:ilvl w:val="0"/>
          <w:numId w:val="7"/>
        </w:numPr>
      </w:pPr>
      <w:r w:rsidRPr="00AA0BD0">
        <w:t xml:space="preserve">Remove the tube from the magnetic rack and resuspend the pellet in </w:t>
      </w:r>
      <w:r w:rsidR="005A513F">
        <w:t>31</w:t>
      </w:r>
      <w:r w:rsidRPr="00AA0BD0">
        <w:t xml:space="preserve"> µl</w:t>
      </w:r>
      <w:r w:rsidR="005A513F">
        <w:t xml:space="preserve"> </w:t>
      </w:r>
      <w:r w:rsidRPr="00AA0BD0">
        <w:t xml:space="preserve">nuclease-free water by flicking the tube. Incubate for </w:t>
      </w:r>
      <w:r>
        <w:t>1h 30min at 37ºC.</w:t>
      </w:r>
    </w:p>
    <w:p w14:paraId="107FC522" w14:textId="77777777" w:rsidR="00014140" w:rsidRPr="00AA0BD0" w:rsidRDefault="00014140" w:rsidP="00014140">
      <w:pPr>
        <w:pStyle w:val="Prrafodelista"/>
        <w:numPr>
          <w:ilvl w:val="0"/>
          <w:numId w:val="7"/>
        </w:numPr>
      </w:pPr>
      <w:r>
        <w:t>Spin down the tube and p</w:t>
      </w:r>
      <w:r w:rsidRPr="00AA0BD0">
        <w:t xml:space="preserve">ellet the beads on a magnet until the </w:t>
      </w:r>
      <w:proofErr w:type="gramStart"/>
      <w:r w:rsidRPr="00AA0BD0">
        <w:t>eluate</w:t>
      </w:r>
      <w:proofErr w:type="gramEnd"/>
      <w:r w:rsidRPr="00AA0BD0">
        <w:t xml:space="preserve"> is clear and </w:t>
      </w:r>
      <w:proofErr w:type="spellStart"/>
      <w:r w:rsidRPr="00AA0BD0">
        <w:t>colourless</w:t>
      </w:r>
      <w:proofErr w:type="spellEnd"/>
      <w:r w:rsidRPr="00AA0BD0">
        <w:t>, for at least 1 minute</w:t>
      </w:r>
      <w:r>
        <w:t>.</w:t>
      </w:r>
    </w:p>
    <w:p w14:paraId="33F06BA1" w14:textId="42FE3FFF" w:rsidR="00014140" w:rsidRDefault="005A513F" w:rsidP="00014140">
      <w:pPr>
        <w:pStyle w:val="Prrafodelista"/>
        <w:numPr>
          <w:ilvl w:val="0"/>
          <w:numId w:val="7"/>
        </w:numPr>
      </w:pPr>
      <w:r w:rsidRPr="005A513F">
        <w:t xml:space="preserve">Remove and retain </w:t>
      </w:r>
      <w:r w:rsidRPr="005A513F">
        <w:t>30</w:t>
      </w:r>
      <w:r w:rsidRPr="005A513F">
        <w:t xml:space="preserve"> µl of eluate containing the DNA library into a clean 1.5 ml Eppendorf DNA </w:t>
      </w:r>
      <w:proofErr w:type="spellStart"/>
      <w:r w:rsidRPr="005A513F">
        <w:t>LoBind</w:t>
      </w:r>
      <w:proofErr w:type="spellEnd"/>
      <w:r w:rsidRPr="005A513F">
        <w:t xml:space="preserve"> tube.</w:t>
      </w:r>
      <w:r w:rsidR="001E7139">
        <w:t xml:space="preserve"> Use wide bore tips.</w:t>
      </w:r>
    </w:p>
    <w:p w14:paraId="48F7658A" w14:textId="77777777" w:rsidR="005A513F" w:rsidRPr="005A513F" w:rsidRDefault="005A513F" w:rsidP="005A513F">
      <w:pPr>
        <w:pStyle w:val="Prrafodelista"/>
        <w:numPr>
          <w:ilvl w:val="0"/>
          <w:numId w:val="7"/>
        </w:numPr>
        <w:spacing w:before="110"/>
      </w:pPr>
      <w:r w:rsidRPr="005A513F">
        <w:t>Quantify 1 µl of eluted sample using a Qubit fluorometer.</w:t>
      </w:r>
    </w:p>
    <w:p w14:paraId="15D36AD7" w14:textId="77777777" w:rsidR="005A513F" w:rsidRDefault="005A513F" w:rsidP="00014140">
      <w:pPr>
        <w:pStyle w:val="Prrafodelista"/>
        <w:numPr>
          <w:ilvl w:val="0"/>
          <w:numId w:val="7"/>
        </w:numPr>
      </w:pPr>
      <w:r>
        <w:t>Prepare your library in 30ul of Elution buffer (EB).</w:t>
      </w:r>
    </w:p>
    <w:p w14:paraId="0A9482AD" w14:textId="57C76A9D" w:rsidR="005A513F" w:rsidRDefault="005A513F" w:rsidP="005A513F">
      <w:pPr>
        <w:pStyle w:val="Prrafodelista"/>
        <w:numPr>
          <w:ilvl w:val="0"/>
          <w:numId w:val="3"/>
        </w:numPr>
      </w:pPr>
      <w:r>
        <w:t xml:space="preserve">The library prepared following this protocol is expected to be </w:t>
      </w:r>
      <w:r w:rsidRPr="005A513F">
        <w:t>&gt;</w:t>
      </w:r>
      <w:r w:rsidRPr="005A513F">
        <w:t>20kb</w:t>
      </w:r>
      <w:r>
        <w:t xml:space="preserve">. Prepare 500-600ng of library to load on the </w:t>
      </w:r>
      <w:proofErr w:type="spellStart"/>
      <w:r>
        <w:t>Promethion</w:t>
      </w:r>
      <w:proofErr w:type="spellEnd"/>
      <w:r>
        <w:t xml:space="preserve"> R10.4 FC</w:t>
      </w:r>
      <w:r w:rsidR="00C01026">
        <w:t xml:space="preserve"> following manufacturer’s instructions</w:t>
      </w:r>
      <w:r>
        <w:t>.</w:t>
      </w:r>
      <w:r w:rsidR="00C01026">
        <w:t xml:space="preserve"> After loading, check that the pore occupancy is above 95% to optimize the output. If pore occupancy is below 94%, try to top-up by adding more </w:t>
      </w:r>
      <w:proofErr w:type="gramStart"/>
      <w:r w:rsidR="00C01026">
        <w:t>library</w:t>
      </w:r>
      <w:proofErr w:type="gramEnd"/>
      <w:r w:rsidR="00C01026">
        <w:t xml:space="preserve"> (there is space to load 200ul more in the flow cell).</w:t>
      </w:r>
    </w:p>
    <w:p w14:paraId="04BE89FF" w14:textId="6DDB6450" w:rsidR="005A513F" w:rsidRDefault="005A513F" w:rsidP="005A513F">
      <w:pPr>
        <w:pStyle w:val="Prrafodelista"/>
        <w:numPr>
          <w:ilvl w:val="0"/>
          <w:numId w:val="3"/>
        </w:numPr>
      </w:pPr>
      <w:r>
        <w:lastRenderedPageBreak/>
        <w:t xml:space="preserve">Store the remaining library </w:t>
      </w:r>
      <w:r w:rsidR="00C01026">
        <w:t xml:space="preserve">at 4ºC </w:t>
      </w:r>
      <w:r>
        <w:t>to maximize the flow cell output by washing the flow cell and reloading fresh library when the active pores drop below 30% during the sequencing run.</w:t>
      </w:r>
    </w:p>
    <w:p w14:paraId="08B3B1D5" w14:textId="74522DBB" w:rsidR="005A513F" w:rsidRDefault="005A513F" w:rsidP="005A513F">
      <w:pPr>
        <w:pStyle w:val="Prrafodelista"/>
        <w:ind w:left="1080"/>
      </w:pPr>
    </w:p>
    <w:p w14:paraId="44FD28C8" w14:textId="13C68C53" w:rsidR="002D50DE" w:rsidRPr="005A513F" w:rsidRDefault="002D50DE" w:rsidP="005A513F">
      <w:pPr>
        <w:rPr>
          <w:rFonts w:ascii="Arial Black"/>
          <w:spacing w:val="-2"/>
        </w:rPr>
      </w:pPr>
    </w:p>
    <w:sectPr w:rsidR="002D50DE" w:rsidRPr="005A5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F28"/>
    <w:multiLevelType w:val="hybridMultilevel"/>
    <w:tmpl w:val="FECC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48E1"/>
    <w:multiLevelType w:val="hybridMultilevel"/>
    <w:tmpl w:val="12DCE36A"/>
    <w:lvl w:ilvl="0" w:tplc="14AEBDD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455456"/>
        <w:w w:val="10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846C1D"/>
    <w:multiLevelType w:val="hybridMultilevel"/>
    <w:tmpl w:val="1BE2FF94"/>
    <w:lvl w:ilvl="0" w:tplc="600C3456">
      <w:start w:val="20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F725C5"/>
    <w:multiLevelType w:val="hybridMultilevel"/>
    <w:tmpl w:val="3EBAF2E2"/>
    <w:lvl w:ilvl="0" w:tplc="7ABE4636">
      <w:start w:val="1"/>
      <w:numFmt w:val="decimal"/>
      <w:lvlText w:val="%1."/>
      <w:lvlJc w:val="left"/>
      <w:pPr>
        <w:ind w:left="433" w:hanging="283"/>
      </w:pPr>
      <w:rPr>
        <w:rFonts w:ascii="Arial MT" w:eastAsia="Arial MT" w:hAnsi="Arial MT" w:cs="Arial MT" w:hint="default"/>
        <w:b w:val="0"/>
        <w:bCs w:val="0"/>
        <w:i w:val="0"/>
        <w:iCs w:val="0"/>
        <w:color w:val="455456"/>
        <w:spacing w:val="0"/>
        <w:w w:val="96"/>
        <w:sz w:val="24"/>
        <w:szCs w:val="24"/>
        <w:lang w:val="en-US" w:eastAsia="en-US" w:bidi="ar-SA"/>
      </w:rPr>
    </w:lvl>
    <w:lvl w:ilvl="1" w:tplc="DF963FEE">
      <w:numFmt w:val="bullet"/>
      <w:lvlText w:val="•"/>
      <w:lvlJc w:val="left"/>
      <w:pPr>
        <w:ind w:left="1387" w:hanging="283"/>
      </w:pPr>
      <w:rPr>
        <w:rFonts w:hint="default"/>
        <w:lang w:val="en-US" w:eastAsia="en-US" w:bidi="ar-SA"/>
      </w:rPr>
    </w:lvl>
    <w:lvl w:ilvl="2" w:tplc="1312F794">
      <w:numFmt w:val="bullet"/>
      <w:lvlText w:val="•"/>
      <w:lvlJc w:val="left"/>
      <w:pPr>
        <w:ind w:left="2335" w:hanging="283"/>
      </w:pPr>
      <w:rPr>
        <w:rFonts w:hint="default"/>
        <w:lang w:val="en-US" w:eastAsia="en-US" w:bidi="ar-SA"/>
      </w:rPr>
    </w:lvl>
    <w:lvl w:ilvl="3" w:tplc="92B6B3C4">
      <w:numFmt w:val="bullet"/>
      <w:lvlText w:val="•"/>
      <w:lvlJc w:val="left"/>
      <w:pPr>
        <w:ind w:left="3282" w:hanging="283"/>
      </w:pPr>
      <w:rPr>
        <w:rFonts w:hint="default"/>
        <w:lang w:val="en-US" w:eastAsia="en-US" w:bidi="ar-SA"/>
      </w:rPr>
    </w:lvl>
    <w:lvl w:ilvl="4" w:tplc="11AC7028">
      <w:numFmt w:val="bullet"/>
      <w:lvlText w:val="•"/>
      <w:lvlJc w:val="left"/>
      <w:pPr>
        <w:ind w:left="4230" w:hanging="283"/>
      </w:pPr>
      <w:rPr>
        <w:rFonts w:hint="default"/>
        <w:lang w:val="en-US" w:eastAsia="en-US" w:bidi="ar-SA"/>
      </w:rPr>
    </w:lvl>
    <w:lvl w:ilvl="5" w:tplc="0CBAC1DA">
      <w:numFmt w:val="bullet"/>
      <w:lvlText w:val="•"/>
      <w:lvlJc w:val="left"/>
      <w:pPr>
        <w:ind w:left="5177" w:hanging="283"/>
      </w:pPr>
      <w:rPr>
        <w:rFonts w:hint="default"/>
        <w:lang w:val="en-US" w:eastAsia="en-US" w:bidi="ar-SA"/>
      </w:rPr>
    </w:lvl>
    <w:lvl w:ilvl="6" w:tplc="4182AB38">
      <w:numFmt w:val="bullet"/>
      <w:lvlText w:val="•"/>
      <w:lvlJc w:val="left"/>
      <w:pPr>
        <w:ind w:left="6125" w:hanging="283"/>
      </w:pPr>
      <w:rPr>
        <w:rFonts w:hint="default"/>
        <w:lang w:val="en-US" w:eastAsia="en-US" w:bidi="ar-SA"/>
      </w:rPr>
    </w:lvl>
    <w:lvl w:ilvl="7" w:tplc="25A6C82E">
      <w:numFmt w:val="bullet"/>
      <w:lvlText w:val="•"/>
      <w:lvlJc w:val="left"/>
      <w:pPr>
        <w:ind w:left="7072" w:hanging="283"/>
      </w:pPr>
      <w:rPr>
        <w:rFonts w:hint="default"/>
        <w:lang w:val="en-US" w:eastAsia="en-US" w:bidi="ar-SA"/>
      </w:rPr>
    </w:lvl>
    <w:lvl w:ilvl="8" w:tplc="358C8954">
      <w:numFmt w:val="bullet"/>
      <w:lvlText w:val="•"/>
      <w:lvlJc w:val="left"/>
      <w:pPr>
        <w:ind w:left="8020" w:hanging="283"/>
      </w:pPr>
      <w:rPr>
        <w:rFonts w:hint="default"/>
        <w:lang w:val="en-US" w:eastAsia="en-US" w:bidi="ar-SA"/>
      </w:rPr>
    </w:lvl>
  </w:abstractNum>
  <w:abstractNum w:abstractNumId="4" w15:restartNumberingAfterBreak="0">
    <w:nsid w:val="358C7124"/>
    <w:multiLevelType w:val="hybridMultilevel"/>
    <w:tmpl w:val="619029F4"/>
    <w:lvl w:ilvl="0" w:tplc="E946D386">
      <w:start w:val="2"/>
      <w:numFmt w:val="decimal"/>
      <w:lvlText w:val="%1."/>
      <w:lvlJc w:val="left"/>
      <w:pPr>
        <w:ind w:left="433" w:hanging="283"/>
      </w:pPr>
      <w:rPr>
        <w:rFonts w:ascii="Arial MT" w:eastAsia="Arial MT" w:hAnsi="Arial MT" w:cs="Arial MT" w:hint="default"/>
        <w:b w:val="0"/>
        <w:bCs w:val="0"/>
        <w:i w:val="0"/>
        <w:iCs w:val="0"/>
        <w:color w:val="455456"/>
        <w:spacing w:val="0"/>
        <w:w w:val="96"/>
        <w:sz w:val="24"/>
        <w:szCs w:val="24"/>
        <w:lang w:val="en-US" w:eastAsia="en-US" w:bidi="ar-SA"/>
      </w:rPr>
    </w:lvl>
    <w:lvl w:ilvl="1" w:tplc="674C6E36">
      <w:numFmt w:val="bullet"/>
      <w:lvlText w:val="•"/>
      <w:lvlJc w:val="left"/>
      <w:pPr>
        <w:ind w:left="1387" w:hanging="283"/>
      </w:pPr>
      <w:rPr>
        <w:rFonts w:hint="default"/>
        <w:lang w:val="en-US" w:eastAsia="en-US" w:bidi="ar-SA"/>
      </w:rPr>
    </w:lvl>
    <w:lvl w:ilvl="2" w:tplc="95A67516">
      <w:numFmt w:val="bullet"/>
      <w:lvlText w:val="•"/>
      <w:lvlJc w:val="left"/>
      <w:pPr>
        <w:ind w:left="2335" w:hanging="283"/>
      </w:pPr>
      <w:rPr>
        <w:rFonts w:hint="default"/>
        <w:lang w:val="en-US" w:eastAsia="en-US" w:bidi="ar-SA"/>
      </w:rPr>
    </w:lvl>
    <w:lvl w:ilvl="3" w:tplc="39C0C5F8">
      <w:numFmt w:val="bullet"/>
      <w:lvlText w:val="•"/>
      <w:lvlJc w:val="left"/>
      <w:pPr>
        <w:ind w:left="3282" w:hanging="283"/>
      </w:pPr>
      <w:rPr>
        <w:rFonts w:hint="default"/>
        <w:lang w:val="en-US" w:eastAsia="en-US" w:bidi="ar-SA"/>
      </w:rPr>
    </w:lvl>
    <w:lvl w:ilvl="4" w:tplc="3074178C">
      <w:numFmt w:val="bullet"/>
      <w:lvlText w:val="•"/>
      <w:lvlJc w:val="left"/>
      <w:pPr>
        <w:ind w:left="4230" w:hanging="283"/>
      </w:pPr>
      <w:rPr>
        <w:rFonts w:hint="default"/>
        <w:lang w:val="en-US" w:eastAsia="en-US" w:bidi="ar-SA"/>
      </w:rPr>
    </w:lvl>
    <w:lvl w:ilvl="5" w:tplc="A9743E6A">
      <w:numFmt w:val="bullet"/>
      <w:lvlText w:val="•"/>
      <w:lvlJc w:val="left"/>
      <w:pPr>
        <w:ind w:left="5177" w:hanging="283"/>
      </w:pPr>
      <w:rPr>
        <w:rFonts w:hint="default"/>
        <w:lang w:val="en-US" w:eastAsia="en-US" w:bidi="ar-SA"/>
      </w:rPr>
    </w:lvl>
    <w:lvl w:ilvl="6" w:tplc="D940E898">
      <w:numFmt w:val="bullet"/>
      <w:lvlText w:val="•"/>
      <w:lvlJc w:val="left"/>
      <w:pPr>
        <w:ind w:left="6125" w:hanging="283"/>
      </w:pPr>
      <w:rPr>
        <w:rFonts w:hint="default"/>
        <w:lang w:val="en-US" w:eastAsia="en-US" w:bidi="ar-SA"/>
      </w:rPr>
    </w:lvl>
    <w:lvl w:ilvl="7" w:tplc="C8A4B3AE">
      <w:numFmt w:val="bullet"/>
      <w:lvlText w:val="•"/>
      <w:lvlJc w:val="left"/>
      <w:pPr>
        <w:ind w:left="7072" w:hanging="283"/>
      </w:pPr>
      <w:rPr>
        <w:rFonts w:hint="default"/>
        <w:lang w:val="en-US" w:eastAsia="en-US" w:bidi="ar-SA"/>
      </w:rPr>
    </w:lvl>
    <w:lvl w:ilvl="8" w:tplc="B9A69ACA">
      <w:numFmt w:val="bullet"/>
      <w:lvlText w:val="•"/>
      <w:lvlJc w:val="left"/>
      <w:pPr>
        <w:ind w:left="8020" w:hanging="283"/>
      </w:pPr>
      <w:rPr>
        <w:rFonts w:hint="default"/>
        <w:lang w:val="en-US" w:eastAsia="en-US" w:bidi="ar-SA"/>
      </w:rPr>
    </w:lvl>
  </w:abstractNum>
  <w:abstractNum w:abstractNumId="5" w15:restartNumberingAfterBreak="0">
    <w:nsid w:val="64654408"/>
    <w:multiLevelType w:val="hybridMultilevel"/>
    <w:tmpl w:val="52FCF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31EDC"/>
    <w:multiLevelType w:val="hybridMultilevel"/>
    <w:tmpl w:val="F254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C573B"/>
    <w:multiLevelType w:val="hybridMultilevel"/>
    <w:tmpl w:val="F2544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F3F1E"/>
    <w:multiLevelType w:val="hybridMultilevel"/>
    <w:tmpl w:val="5EF0B6F4"/>
    <w:lvl w:ilvl="0" w:tplc="3716BF50">
      <w:start w:val="1"/>
      <w:numFmt w:val="decimal"/>
      <w:lvlText w:val="%1."/>
      <w:lvlJc w:val="left"/>
      <w:pPr>
        <w:ind w:left="433" w:hanging="283"/>
      </w:pPr>
      <w:rPr>
        <w:rFonts w:ascii="Arial MT" w:eastAsia="Arial MT" w:hAnsi="Arial MT" w:cs="Arial MT" w:hint="default"/>
        <w:b w:val="0"/>
        <w:bCs w:val="0"/>
        <w:i w:val="0"/>
        <w:iCs w:val="0"/>
        <w:color w:val="455456"/>
        <w:spacing w:val="0"/>
        <w:w w:val="96"/>
        <w:sz w:val="24"/>
        <w:szCs w:val="24"/>
        <w:lang w:val="en-US" w:eastAsia="en-US" w:bidi="ar-SA"/>
      </w:rPr>
    </w:lvl>
    <w:lvl w:ilvl="1" w:tplc="D9DE96FA">
      <w:numFmt w:val="bullet"/>
      <w:lvlText w:val="•"/>
      <w:lvlJc w:val="left"/>
      <w:pPr>
        <w:ind w:left="1387" w:hanging="283"/>
      </w:pPr>
      <w:rPr>
        <w:rFonts w:hint="default"/>
        <w:lang w:val="en-US" w:eastAsia="en-US" w:bidi="ar-SA"/>
      </w:rPr>
    </w:lvl>
    <w:lvl w:ilvl="2" w:tplc="7A546F62">
      <w:numFmt w:val="bullet"/>
      <w:lvlText w:val="•"/>
      <w:lvlJc w:val="left"/>
      <w:pPr>
        <w:ind w:left="2335" w:hanging="283"/>
      </w:pPr>
      <w:rPr>
        <w:rFonts w:hint="default"/>
        <w:lang w:val="en-US" w:eastAsia="en-US" w:bidi="ar-SA"/>
      </w:rPr>
    </w:lvl>
    <w:lvl w:ilvl="3" w:tplc="7482FFBC">
      <w:numFmt w:val="bullet"/>
      <w:lvlText w:val="•"/>
      <w:lvlJc w:val="left"/>
      <w:pPr>
        <w:ind w:left="3282" w:hanging="283"/>
      </w:pPr>
      <w:rPr>
        <w:rFonts w:hint="default"/>
        <w:lang w:val="en-US" w:eastAsia="en-US" w:bidi="ar-SA"/>
      </w:rPr>
    </w:lvl>
    <w:lvl w:ilvl="4" w:tplc="98488384">
      <w:numFmt w:val="bullet"/>
      <w:lvlText w:val="•"/>
      <w:lvlJc w:val="left"/>
      <w:pPr>
        <w:ind w:left="4230" w:hanging="283"/>
      </w:pPr>
      <w:rPr>
        <w:rFonts w:hint="default"/>
        <w:lang w:val="en-US" w:eastAsia="en-US" w:bidi="ar-SA"/>
      </w:rPr>
    </w:lvl>
    <w:lvl w:ilvl="5" w:tplc="E0664AF2">
      <w:numFmt w:val="bullet"/>
      <w:lvlText w:val="•"/>
      <w:lvlJc w:val="left"/>
      <w:pPr>
        <w:ind w:left="5177" w:hanging="283"/>
      </w:pPr>
      <w:rPr>
        <w:rFonts w:hint="default"/>
        <w:lang w:val="en-US" w:eastAsia="en-US" w:bidi="ar-SA"/>
      </w:rPr>
    </w:lvl>
    <w:lvl w:ilvl="6" w:tplc="741E39EE">
      <w:numFmt w:val="bullet"/>
      <w:lvlText w:val="•"/>
      <w:lvlJc w:val="left"/>
      <w:pPr>
        <w:ind w:left="6125" w:hanging="283"/>
      </w:pPr>
      <w:rPr>
        <w:rFonts w:hint="default"/>
        <w:lang w:val="en-US" w:eastAsia="en-US" w:bidi="ar-SA"/>
      </w:rPr>
    </w:lvl>
    <w:lvl w:ilvl="7" w:tplc="E1423F7E">
      <w:numFmt w:val="bullet"/>
      <w:lvlText w:val="•"/>
      <w:lvlJc w:val="left"/>
      <w:pPr>
        <w:ind w:left="7072" w:hanging="283"/>
      </w:pPr>
      <w:rPr>
        <w:rFonts w:hint="default"/>
        <w:lang w:val="en-US" w:eastAsia="en-US" w:bidi="ar-SA"/>
      </w:rPr>
    </w:lvl>
    <w:lvl w:ilvl="8" w:tplc="4EE870A8">
      <w:numFmt w:val="bullet"/>
      <w:lvlText w:val="•"/>
      <w:lvlJc w:val="left"/>
      <w:pPr>
        <w:ind w:left="8020" w:hanging="283"/>
      </w:pPr>
      <w:rPr>
        <w:rFonts w:hint="default"/>
        <w:lang w:val="en-US" w:eastAsia="en-US" w:bidi="ar-SA"/>
      </w:rPr>
    </w:lvl>
  </w:abstractNum>
  <w:num w:numId="1" w16cid:durableId="1281492613">
    <w:abstractNumId w:val="4"/>
  </w:num>
  <w:num w:numId="2" w16cid:durableId="386804404">
    <w:abstractNumId w:val="6"/>
  </w:num>
  <w:num w:numId="3" w16cid:durableId="2107917306">
    <w:abstractNumId w:val="1"/>
  </w:num>
  <w:num w:numId="4" w16cid:durableId="286743697">
    <w:abstractNumId w:val="3"/>
  </w:num>
  <w:num w:numId="5" w16cid:durableId="1523861651">
    <w:abstractNumId w:val="8"/>
  </w:num>
  <w:num w:numId="6" w16cid:durableId="591737965">
    <w:abstractNumId w:val="0"/>
  </w:num>
  <w:num w:numId="7" w16cid:durableId="1024676743">
    <w:abstractNumId w:val="7"/>
  </w:num>
  <w:num w:numId="8" w16cid:durableId="1427271181">
    <w:abstractNumId w:val="5"/>
  </w:num>
  <w:num w:numId="9" w16cid:durableId="2045326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F9"/>
    <w:rsid w:val="00014140"/>
    <w:rsid w:val="00050561"/>
    <w:rsid w:val="000856D1"/>
    <w:rsid w:val="000A506E"/>
    <w:rsid w:val="001641B1"/>
    <w:rsid w:val="00171BD5"/>
    <w:rsid w:val="001E7139"/>
    <w:rsid w:val="0027047D"/>
    <w:rsid w:val="00276C18"/>
    <w:rsid w:val="00290FB2"/>
    <w:rsid w:val="002D50DE"/>
    <w:rsid w:val="002E0A1A"/>
    <w:rsid w:val="003771E1"/>
    <w:rsid w:val="003C6597"/>
    <w:rsid w:val="003E0335"/>
    <w:rsid w:val="004670F5"/>
    <w:rsid w:val="00500EB7"/>
    <w:rsid w:val="005517C7"/>
    <w:rsid w:val="00562560"/>
    <w:rsid w:val="0058443E"/>
    <w:rsid w:val="005A513F"/>
    <w:rsid w:val="005D161B"/>
    <w:rsid w:val="005E43C8"/>
    <w:rsid w:val="00600B79"/>
    <w:rsid w:val="00663317"/>
    <w:rsid w:val="00674BA7"/>
    <w:rsid w:val="006B24B1"/>
    <w:rsid w:val="006D0751"/>
    <w:rsid w:val="007029A3"/>
    <w:rsid w:val="00741764"/>
    <w:rsid w:val="007610E2"/>
    <w:rsid w:val="007C2AA4"/>
    <w:rsid w:val="008C7EA7"/>
    <w:rsid w:val="00916FEB"/>
    <w:rsid w:val="00944BA7"/>
    <w:rsid w:val="009E3C51"/>
    <w:rsid w:val="009F159E"/>
    <w:rsid w:val="00A3165D"/>
    <w:rsid w:val="00A7752E"/>
    <w:rsid w:val="00AA0BD0"/>
    <w:rsid w:val="00B14589"/>
    <w:rsid w:val="00B424FA"/>
    <w:rsid w:val="00B610D8"/>
    <w:rsid w:val="00BE3423"/>
    <w:rsid w:val="00C01026"/>
    <w:rsid w:val="00C97828"/>
    <w:rsid w:val="00CD0384"/>
    <w:rsid w:val="00D044B4"/>
    <w:rsid w:val="00D26965"/>
    <w:rsid w:val="00D5059C"/>
    <w:rsid w:val="00D5684B"/>
    <w:rsid w:val="00DF1BC8"/>
    <w:rsid w:val="00E01516"/>
    <w:rsid w:val="00E47437"/>
    <w:rsid w:val="00E9421F"/>
    <w:rsid w:val="00EA29F9"/>
    <w:rsid w:val="00EB2C54"/>
    <w:rsid w:val="00E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FA67"/>
  <w15:chartTrackingRefBased/>
  <w15:docId w15:val="{77A15E64-D217-4045-9C82-08B8346C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2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2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2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2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2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2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2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2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2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2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2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29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29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29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29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29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29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2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2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2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29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EA29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29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2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29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29F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A29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29F9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A29F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29F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9421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942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noporetech.com/document/genomic-dna-by-ligation-sqk-lsk114?device=Prometh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Aguilera Gil</dc:creator>
  <cp:keywords/>
  <dc:description/>
  <cp:lastModifiedBy>Laura Aguilera Gil</cp:lastModifiedBy>
  <cp:revision>43</cp:revision>
  <dcterms:created xsi:type="dcterms:W3CDTF">2025-09-26T08:06:00Z</dcterms:created>
  <dcterms:modified xsi:type="dcterms:W3CDTF">2025-09-26T13:49:00Z</dcterms:modified>
</cp:coreProperties>
</file>