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1EA" w:rsidRDefault="00F701EA" w:rsidP="00F701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0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WTc11 iPSC CULTURE SOP</w:t>
      </w:r>
    </w:p>
    <w:p w:rsidR="00F701EA" w:rsidRDefault="00F701EA" w:rsidP="00F701EA">
      <w:pPr>
        <w:ind w:right="360"/>
        <w:jc w:val="center"/>
        <w:rPr>
          <w:rFonts w:ascii="Times New Roman" w:eastAsia="Times New Roman" w:hAnsi="Times New Roman" w:cs="Times New Roman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Connor Ludwig</w:t>
      </w:r>
      <w:r>
        <w:rPr>
          <w:rFonts w:ascii="Times New Roman" w:eastAsia="Times New Roman" w:hAnsi="Times New Roman" w:cs="Times New Roman"/>
        </w:rPr>
        <w:t>,</w:t>
      </w:r>
      <w:r w:rsidRPr="00F701E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Ruilin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Tian</w:t>
      </w:r>
      <w:r w:rsidR="006201DF">
        <w:rPr>
          <w:rFonts w:ascii="Times New Roman" w:eastAsia="Times New Roman" w:hAnsi="Times New Roman" w:cs="Times New Roman"/>
          <w:color w:val="000000"/>
        </w:rPr>
        <w:t>, Martin Kampmann</w:t>
      </w:r>
    </w:p>
    <w:p w:rsidR="006201DF" w:rsidRPr="006201DF" w:rsidRDefault="006201DF" w:rsidP="006201DF">
      <w:pPr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Reference: </w:t>
      </w:r>
      <w:r w:rsidRPr="006201DF">
        <w:rPr>
          <w:rFonts w:ascii="Times New Roman" w:eastAsia="Times New Roman" w:hAnsi="Times New Roman" w:cs="Times New Roman"/>
          <w:lang w:eastAsia="en-US"/>
        </w:rPr>
        <w:t xml:space="preserve">Tian et al (2019). CRISPR Interference-Based Platform for Multimodal Genetic Screens in Human iPSC-Derived Neurons. Neuron </w:t>
      </w:r>
      <w:proofErr w:type="spellStart"/>
      <w:r w:rsidRPr="006201DF">
        <w:rPr>
          <w:rFonts w:ascii="Times New Roman" w:eastAsia="Times New Roman" w:hAnsi="Times New Roman" w:cs="Times New Roman"/>
          <w:lang w:eastAsia="en-US"/>
        </w:rPr>
        <w:t>pii</w:t>
      </w:r>
      <w:proofErr w:type="spellEnd"/>
      <w:r w:rsidRPr="006201DF">
        <w:rPr>
          <w:rFonts w:ascii="Times New Roman" w:eastAsia="Times New Roman" w:hAnsi="Times New Roman" w:cs="Times New Roman"/>
          <w:lang w:eastAsia="en-US"/>
        </w:rPr>
        <w:t>: S0896-6273(19)30640-3. [</w:t>
      </w:r>
      <w:proofErr w:type="spellStart"/>
      <w:r w:rsidRPr="006201DF">
        <w:rPr>
          <w:rFonts w:ascii="Times New Roman" w:eastAsia="Times New Roman" w:hAnsi="Times New Roman" w:cs="Times New Roman"/>
          <w:lang w:eastAsia="en-US"/>
        </w:rPr>
        <w:t>Epub</w:t>
      </w:r>
      <w:proofErr w:type="spellEnd"/>
      <w:r w:rsidRPr="006201DF">
        <w:rPr>
          <w:rFonts w:ascii="Times New Roman" w:eastAsia="Times New Roman" w:hAnsi="Times New Roman" w:cs="Times New Roman"/>
          <w:lang w:eastAsia="en-US"/>
        </w:rPr>
        <w:t xml:space="preserve"> ahead of print] PubMed PMID: 31422865.</w:t>
      </w:r>
    </w:p>
    <w:p w:rsidR="006201DF" w:rsidRPr="00F701EA" w:rsidRDefault="006201DF" w:rsidP="00F701EA">
      <w:pPr>
        <w:ind w:right="36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  <w:b/>
          <w:bCs/>
          <w:color w:val="000000"/>
        </w:rPr>
        <w:t>WTc11 iPSC Maintenance:</w:t>
      </w: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  <w:i/>
          <w:iCs/>
          <w:color w:val="000000"/>
        </w:rPr>
        <w:t>Reagents and Materials:</w:t>
      </w:r>
    </w:p>
    <w:p w:rsidR="00F701EA" w:rsidRPr="00F701EA" w:rsidRDefault="00F701EA" w:rsidP="00F701EA">
      <w:pPr>
        <w:numPr>
          <w:ilvl w:val="0"/>
          <w:numId w:val="1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Corning® Matrigel® Matrix (</w:t>
      </w:r>
      <w:r w:rsidRPr="00F701E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catalog #: 356231, </w:t>
      </w:r>
      <w:r w:rsidRPr="00F701EA">
        <w:rPr>
          <w:rFonts w:ascii="Times New Roman" w:eastAsia="Times New Roman" w:hAnsi="Times New Roman" w:cs="Times New Roman"/>
          <w:color w:val="000000"/>
        </w:rPr>
        <w:t>used at ~100μg/mL; thawed on ice and diluted in pre-chilled Knockout™ DMEM [Thermo Fischer Scientific, catalog #: 10829-018])</w:t>
      </w:r>
    </w:p>
    <w:p w:rsidR="00F701EA" w:rsidRPr="00F701EA" w:rsidRDefault="00F701EA" w:rsidP="00F701EA">
      <w:pPr>
        <w:numPr>
          <w:ilvl w:val="0"/>
          <w:numId w:val="1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StemFlex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>™ Medium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F701EA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Thermo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 Fischer Scientific, catalog #: A3349401; basal + supplement)</w:t>
      </w:r>
    </w:p>
    <w:p w:rsidR="00F701EA" w:rsidRPr="00F701EA" w:rsidRDefault="00F701EA" w:rsidP="00F701EA">
      <w:pPr>
        <w:numPr>
          <w:ilvl w:val="0"/>
          <w:numId w:val="1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StemPro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® 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Accutase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® Cell Dissociation Reagent (Thermo Fischer </w:t>
      </w:r>
      <w:r w:rsidR="006A1E2B" w:rsidRPr="00F701EA">
        <w:rPr>
          <w:rFonts w:ascii="Times New Roman" w:eastAsia="Times New Roman" w:hAnsi="Times New Roman" w:cs="Times New Roman"/>
          <w:color w:val="000000"/>
        </w:rPr>
        <w:t>Scientific,</w:t>
      </w:r>
      <w:r w:rsidRPr="00F701EA">
        <w:rPr>
          <w:rFonts w:ascii="Times New Roman" w:eastAsia="Times New Roman" w:hAnsi="Times New Roman" w:cs="Times New Roman"/>
          <w:color w:val="000000"/>
        </w:rPr>
        <w:t xml:space="preserve"> catalog #: A11105-01)</w:t>
      </w:r>
    </w:p>
    <w:p w:rsidR="00F701EA" w:rsidRPr="00F701EA" w:rsidRDefault="00F701EA" w:rsidP="00F701EA">
      <w:pPr>
        <w:numPr>
          <w:ilvl w:val="0"/>
          <w:numId w:val="1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Rock Inhibitor Y-27632 Dihydrochloride (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Tocris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>, catalog #: 1254; suggested: aliquot at 10mM [1000x], diluting in DPBS, and use at 10μM)</w:t>
      </w:r>
    </w:p>
    <w:p w:rsidR="00F701EA" w:rsidRPr="00F701EA" w:rsidRDefault="00F701EA" w:rsidP="00F701EA">
      <w:pPr>
        <w:numPr>
          <w:ilvl w:val="0"/>
          <w:numId w:val="1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DPBS without Calcium and Magnesium</w:t>
      </w:r>
    </w:p>
    <w:p w:rsidR="00F701EA" w:rsidRPr="00F701EA" w:rsidRDefault="00F701EA" w:rsidP="00F701EA">
      <w:pPr>
        <w:numPr>
          <w:ilvl w:val="0"/>
          <w:numId w:val="1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Trypan Blue</w:t>
      </w:r>
    </w:p>
    <w:p w:rsidR="00F701EA" w:rsidRPr="00F701EA" w:rsidRDefault="00F701EA" w:rsidP="00F701EA">
      <w:pPr>
        <w:numPr>
          <w:ilvl w:val="0"/>
          <w:numId w:val="1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General Plasticware</w:t>
      </w:r>
    </w:p>
    <w:p w:rsidR="00F701EA" w:rsidRDefault="00F701EA" w:rsidP="00F701EA">
      <w:pPr>
        <w:rPr>
          <w:rFonts w:ascii="Times New Roman" w:eastAsia="Times New Roman" w:hAnsi="Times New Roman" w:cs="Times New Roman"/>
        </w:rPr>
      </w:pPr>
    </w:p>
    <w:p w:rsid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  <w:b/>
          <w:bCs/>
        </w:rPr>
        <w:t xml:space="preserve">Prepare complete </w:t>
      </w:r>
      <w:proofErr w:type="spellStart"/>
      <w:r w:rsidRPr="00F701EA">
        <w:rPr>
          <w:rFonts w:ascii="Times New Roman" w:eastAsia="Times New Roman" w:hAnsi="Times New Roman" w:cs="Times New Roman"/>
          <w:b/>
          <w:bCs/>
        </w:rPr>
        <w:t>StemFlex</w:t>
      </w:r>
      <w:proofErr w:type="spellEnd"/>
      <w:r w:rsidRPr="00F701EA">
        <w:rPr>
          <w:rFonts w:ascii="Times New Roman" w:eastAsia="Times New Roman" w:hAnsi="Times New Roman" w:cs="Times New Roman"/>
        </w:rPr>
        <w:t xml:space="preserve"> </w:t>
      </w:r>
      <w:r w:rsidRPr="00F701EA">
        <w:rPr>
          <w:rFonts w:ascii="Times New Roman" w:eastAsia="Times New Roman" w:hAnsi="Times New Roman" w:cs="Times New Roman"/>
          <w:b/>
          <w:bCs/>
        </w:rPr>
        <w:t>Medium:</w:t>
      </w:r>
      <w:r w:rsidRPr="00F701EA">
        <w:rPr>
          <w:rFonts w:ascii="Times New Roman" w:eastAsia="Times New Roman" w:hAnsi="Times New Roman" w:cs="Times New Roman"/>
          <w:b/>
          <w:bCs/>
        </w:rPr>
        <w:br/>
      </w:r>
      <w:r w:rsidRPr="00F701EA">
        <w:rPr>
          <w:rFonts w:ascii="Times New Roman" w:eastAsia="Times New Roman" w:hAnsi="Times New Roman" w:cs="Times New Roman"/>
        </w:rPr>
        <w:t xml:space="preserve">1. Thaw the frozen </w:t>
      </w:r>
      <w:proofErr w:type="spellStart"/>
      <w:r w:rsidRPr="00F701EA">
        <w:rPr>
          <w:rFonts w:ascii="Times New Roman" w:eastAsia="Times New Roman" w:hAnsi="Times New Roman" w:cs="Times New Roman"/>
        </w:rPr>
        <w:t>StemFlex</w:t>
      </w:r>
      <w:proofErr w:type="spellEnd"/>
      <w:r w:rsidRPr="00F701EA">
        <w:rPr>
          <w:rFonts w:ascii="Times New Roman" w:eastAsia="Times New Roman" w:hAnsi="Times New Roman" w:cs="Times New Roman"/>
        </w:rPr>
        <w:t xml:space="preserve"> Supplement 10X at room temperature for ~2 hours or overnight at 2°C to 8°C. </w:t>
      </w:r>
    </w:p>
    <w:p w:rsidR="00F701EA" w:rsidRPr="00F701EA" w:rsidRDefault="00F701EA" w:rsidP="00F701EA">
      <w:pPr>
        <w:ind w:firstLine="720"/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</w:rPr>
        <w:t xml:space="preserve">IMPORTANT! Do not thaw the frozen supplement at 37°C. </w:t>
      </w: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</w:rPr>
        <w:t xml:space="preserve">2. Mix the thawed supplement by gently inverting 3−5 times. 3. Aseptically transfer 50 mL of </w:t>
      </w:r>
      <w:proofErr w:type="spellStart"/>
      <w:r w:rsidRPr="00F701EA">
        <w:rPr>
          <w:rFonts w:ascii="Times New Roman" w:eastAsia="Times New Roman" w:hAnsi="Times New Roman" w:cs="Times New Roman"/>
        </w:rPr>
        <w:t>StemFlex</w:t>
      </w:r>
      <w:proofErr w:type="spellEnd"/>
      <w:r w:rsidRPr="00F701EA">
        <w:rPr>
          <w:rFonts w:ascii="Times New Roman" w:eastAsia="Times New Roman" w:hAnsi="Times New Roman" w:cs="Times New Roman"/>
        </w:rPr>
        <w:t xml:space="preserve"> Supplement 10X to the bottle of </w:t>
      </w:r>
      <w:proofErr w:type="spellStart"/>
      <w:r w:rsidRPr="00F701EA">
        <w:rPr>
          <w:rFonts w:ascii="Times New Roman" w:eastAsia="Times New Roman" w:hAnsi="Times New Roman" w:cs="Times New Roman"/>
        </w:rPr>
        <w:t>StemFlexTM</w:t>
      </w:r>
      <w:proofErr w:type="spellEnd"/>
      <w:r w:rsidRPr="00F701EA">
        <w:rPr>
          <w:rFonts w:ascii="Times New Roman" w:eastAsia="Times New Roman" w:hAnsi="Times New Roman" w:cs="Times New Roman"/>
        </w:rPr>
        <w:t xml:space="preserve"> Basal Medium (450 mL fill). Gently invert the bottle several times to obtain 500 mL of homogenous complete medium. </w:t>
      </w: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</w:rPr>
        <w:t xml:space="preserve">4. Store complete </w:t>
      </w:r>
      <w:proofErr w:type="spellStart"/>
      <w:r w:rsidRPr="00F701EA">
        <w:rPr>
          <w:rFonts w:ascii="Times New Roman" w:eastAsia="Times New Roman" w:hAnsi="Times New Roman" w:cs="Times New Roman"/>
        </w:rPr>
        <w:t>StemFlexTM</w:t>
      </w:r>
      <w:proofErr w:type="spellEnd"/>
      <w:r w:rsidRPr="00F701EA">
        <w:rPr>
          <w:rFonts w:ascii="Times New Roman" w:eastAsia="Times New Roman" w:hAnsi="Times New Roman" w:cs="Times New Roman"/>
        </w:rPr>
        <w:t xml:space="preserve"> Medium at 2°C to 8°C for up to 2 weeks. </w:t>
      </w: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</w:rPr>
        <w:t xml:space="preserve">5. Before use, warm complete medium required for that day at room temperature until it is no longer cool to the touch. </w:t>
      </w: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</w:rPr>
        <w:t xml:space="preserve">Alternatively, an aliquot for use that day may be pre-warmed in a 37°C </w:t>
      </w:r>
      <w:proofErr w:type="spellStart"/>
      <w:r w:rsidRPr="00F701EA">
        <w:rPr>
          <w:rFonts w:ascii="Times New Roman" w:eastAsia="Times New Roman" w:hAnsi="Times New Roman" w:cs="Times New Roman"/>
        </w:rPr>
        <w:t>waterbath</w:t>
      </w:r>
      <w:proofErr w:type="spellEnd"/>
      <w:r w:rsidRPr="00F701EA">
        <w:rPr>
          <w:rFonts w:ascii="Times New Roman" w:eastAsia="Times New Roman" w:hAnsi="Times New Roman" w:cs="Times New Roman"/>
        </w:rPr>
        <w:t xml:space="preserve"> until no longer cool to the touch. Avoid extended dwell times at 37°C. </w:t>
      </w:r>
    </w:p>
    <w:p w:rsidR="00F701EA" w:rsidRDefault="00F701EA" w:rsidP="00F701EA">
      <w:pPr>
        <w:rPr>
          <w:rFonts w:ascii="Times New Roman" w:eastAsia="Times New Roman" w:hAnsi="Times New Roman" w:cs="Times New Roman"/>
        </w:rPr>
      </w:pP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</w:rPr>
        <w:t xml:space="preserve">Following reconstitution, complete media can be aliquoted and stored at –5°C to –20 °C for up to 6 months. Alternatively, usage size aliquots of the supplement can be made and frozen at –5 to–20 °C for up to 6 months. Avoid multiple freeze-thaw cycles. </w:t>
      </w: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  <w:b/>
          <w:bCs/>
          <w:color w:val="000000"/>
        </w:rPr>
        <w:t>Feeding</w:t>
      </w:r>
      <w:r w:rsidRPr="00F701EA">
        <w:rPr>
          <w:rFonts w:ascii="Times New Roman" w:eastAsia="Times New Roman" w:hAnsi="Times New Roman" w:cs="Times New Roman"/>
          <w:color w:val="000000"/>
        </w:rPr>
        <w:t>:</w:t>
      </w:r>
    </w:p>
    <w:p w:rsidR="00F701EA" w:rsidRDefault="00F701EA" w:rsidP="00F701EA">
      <w:pPr>
        <w:rPr>
          <w:rFonts w:ascii="Times New Roman" w:eastAsia="Times New Roman" w:hAnsi="Times New Roman" w:cs="Times New Roman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Feed the PSCs the day after seeding followed by every-other-day thereafter.</w:t>
      </w:r>
      <w:r w:rsidRPr="00F701EA">
        <w:rPr>
          <w:rFonts w:ascii="Times New Roman" w:eastAsia="Times New Roman" w:hAnsi="Times New Roman" w:cs="Times New Roman"/>
          <w:color w:val="000000"/>
        </w:rPr>
        <w:br/>
        <w:t xml:space="preserve">If the cells are to be left without feeding for two days (for example, over a weekend), then double the feed volume (i.e., 4 mL added per well of 6-well plate). </w:t>
      </w:r>
    </w:p>
    <w:p w:rsidR="00F701EA" w:rsidRPr="00F701EA" w:rsidRDefault="00F701EA" w:rsidP="00F701EA">
      <w:pPr>
        <w:rPr>
          <w:rFonts w:ascii="Times New Roman" w:eastAsia="Times New Roman" w:hAnsi="Times New Roman" w:cs="Times New Roman"/>
          <w:color w:val="000000"/>
        </w:rPr>
      </w:pPr>
    </w:p>
    <w:p w:rsidR="00F701EA" w:rsidRPr="00F701EA" w:rsidRDefault="00F701EA" w:rsidP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  <w:b/>
          <w:bCs/>
          <w:color w:val="000000"/>
        </w:rPr>
        <w:t>Passaging</w:t>
      </w:r>
      <w:r w:rsidRPr="00F701EA">
        <w:rPr>
          <w:rFonts w:ascii="Times New Roman" w:eastAsia="Times New Roman" w:hAnsi="Times New Roman" w:cs="Times New Roman"/>
          <w:color w:val="000000"/>
        </w:rPr>
        <w:t>:</w:t>
      </w:r>
    </w:p>
    <w:p w:rsidR="00F701EA" w:rsidRPr="00F701EA" w:rsidRDefault="00F701EA" w:rsidP="00F701EA">
      <w:pPr>
        <w:numPr>
          <w:ilvl w:val="0"/>
          <w:numId w:val="3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iPSCs should be split when cells are ~ 80% confluent</w:t>
      </w:r>
    </w:p>
    <w:p w:rsidR="00F701EA" w:rsidRPr="00F701EA" w:rsidRDefault="00F701EA" w:rsidP="00F701EA">
      <w:pPr>
        <w:numPr>
          <w:ilvl w:val="0"/>
          <w:numId w:val="3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lastRenderedPageBreak/>
        <w:t>Coat desired wells/plates with diluted Matrigel and incubate at 37°C for 30-60 minutes; Matrigel may be re-used during this time only to coat additional plates; original plates should have PBS or media to prevent drying out; Matrigel coated plates must be used within 14 days of coating</w:t>
      </w:r>
    </w:p>
    <w:p w:rsidR="00F701EA" w:rsidRPr="00F701EA" w:rsidRDefault="00F701EA" w:rsidP="00F701E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40μL Matrigel per well of a 96-well plate</w:t>
      </w:r>
    </w:p>
    <w:p w:rsidR="00F701EA" w:rsidRPr="00F701EA" w:rsidRDefault="00F701EA" w:rsidP="00F701E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200μL per well of a 24 well-plate</w:t>
      </w:r>
    </w:p>
    <w:p w:rsidR="00F701EA" w:rsidRPr="00F701EA" w:rsidRDefault="00F701EA" w:rsidP="00F701E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0.5mL per well of a 12-well plate</w:t>
      </w:r>
    </w:p>
    <w:p w:rsidR="00F701EA" w:rsidRPr="00F701EA" w:rsidRDefault="00F701EA" w:rsidP="00F701E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1mL per well of a 6-well plate</w:t>
      </w:r>
    </w:p>
    <w:p w:rsidR="00F701EA" w:rsidRPr="00F701EA" w:rsidRDefault="00F701EA" w:rsidP="00F701E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5mL per 10-cm dish</w:t>
      </w:r>
    </w:p>
    <w:p w:rsidR="00F701EA" w:rsidRPr="00F701EA" w:rsidRDefault="00F701EA" w:rsidP="00F701EA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10mL per 15-cm dish</w:t>
      </w:r>
    </w:p>
    <w:p w:rsidR="00F701EA" w:rsidRPr="00F701EA" w:rsidRDefault="00F701EA" w:rsidP="00F701EA">
      <w:pPr>
        <w:numPr>
          <w:ilvl w:val="0"/>
          <w:numId w:val="5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Tilt cell-containing plate towards you and aspirate existing media</w:t>
      </w:r>
    </w:p>
    <w:p w:rsidR="00F701EA" w:rsidRPr="00F701EA" w:rsidRDefault="00F701EA" w:rsidP="00F701EA">
      <w:pPr>
        <w:numPr>
          <w:ilvl w:val="0"/>
          <w:numId w:val="5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Wash wells once with ample PBS (about 2x amount of media)</w:t>
      </w:r>
    </w:p>
    <w:p w:rsidR="00F701EA" w:rsidRPr="00F701EA" w:rsidRDefault="00F701EA" w:rsidP="00F701EA">
      <w:pPr>
        <w:numPr>
          <w:ilvl w:val="0"/>
          <w:numId w:val="5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 xml:space="preserve">Add 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accutase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 to well(s) and incubate at 37°C for 3 minutes; add another 1-2 minutes if cells have not mostly lifted/dissociated</w:t>
      </w:r>
    </w:p>
    <w:p w:rsidR="00F701EA" w:rsidRPr="00F701EA" w:rsidRDefault="00F701EA" w:rsidP="00F701EA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 xml:space="preserve">20μL 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accutase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 per well of a 96-well plate</w:t>
      </w:r>
    </w:p>
    <w:p w:rsidR="00F701EA" w:rsidRPr="00F701EA" w:rsidRDefault="00F701EA" w:rsidP="00F701EA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100μL per well of a 24 well-plate</w:t>
      </w:r>
    </w:p>
    <w:p w:rsidR="00F701EA" w:rsidRPr="00F701EA" w:rsidRDefault="00F701EA" w:rsidP="00F701EA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250μL per well of a 12-well plate</w:t>
      </w:r>
    </w:p>
    <w:p w:rsidR="00F701EA" w:rsidRPr="00F701EA" w:rsidRDefault="00F701EA" w:rsidP="00F701EA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0.5mL per well of a 6-well plate</w:t>
      </w:r>
    </w:p>
    <w:p w:rsidR="00F701EA" w:rsidRPr="00F701EA" w:rsidRDefault="00F701EA" w:rsidP="00F701EA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2mL per 10-cm dish</w:t>
      </w:r>
    </w:p>
    <w:p w:rsidR="00F701EA" w:rsidRPr="00F701EA" w:rsidRDefault="00F701EA" w:rsidP="00F701EA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4mL per 15-cm dish</w:t>
      </w:r>
    </w:p>
    <w:p w:rsidR="00F701EA" w:rsidRPr="00F701EA" w:rsidRDefault="00F701EA" w:rsidP="00F701EA">
      <w:pPr>
        <w:numPr>
          <w:ilvl w:val="0"/>
          <w:numId w:val="7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 xml:space="preserve">Add ample PBS to 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accutase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-containing well(s) to dilute 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accutase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>; pipette up and down gently to mechanically release remaining cells, collect, and add to appropriately-sized conical</w:t>
      </w:r>
    </w:p>
    <w:p w:rsidR="00F701EA" w:rsidRPr="00F701EA" w:rsidRDefault="00F701EA" w:rsidP="00F701EA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200μL PBS per well of a 96-well plate</w:t>
      </w:r>
    </w:p>
    <w:p w:rsidR="00F701EA" w:rsidRPr="00F701EA" w:rsidRDefault="00F701EA" w:rsidP="00F701EA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1mL per well of a 24 well-plate</w:t>
      </w:r>
    </w:p>
    <w:p w:rsidR="00F701EA" w:rsidRPr="00F701EA" w:rsidRDefault="00F701EA" w:rsidP="00F701EA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2.5mL per well of a 12-well plate</w:t>
      </w:r>
    </w:p>
    <w:p w:rsidR="00F701EA" w:rsidRPr="00F701EA" w:rsidRDefault="00F701EA" w:rsidP="00F701EA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5mL per well of a 6-well plate</w:t>
      </w:r>
    </w:p>
    <w:p w:rsidR="00F701EA" w:rsidRPr="00F701EA" w:rsidRDefault="00F701EA" w:rsidP="00F701EA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10mL per 10-cm dish</w:t>
      </w:r>
    </w:p>
    <w:p w:rsidR="00F701EA" w:rsidRPr="00F701EA" w:rsidRDefault="00F701EA" w:rsidP="00F701EA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20mL per 15-cm dish</w:t>
      </w:r>
    </w:p>
    <w:p w:rsidR="00F701EA" w:rsidRPr="00F701EA" w:rsidRDefault="00F701EA" w:rsidP="00F701EA">
      <w:pPr>
        <w:numPr>
          <w:ilvl w:val="0"/>
          <w:numId w:val="9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>Spin cells at 200g for 5 minutes at room temperature</w:t>
      </w:r>
    </w:p>
    <w:p w:rsidR="00F701EA" w:rsidRPr="00F701EA" w:rsidRDefault="00F701EA" w:rsidP="00F701EA">
      <w:pPr>
        <w:numPr>
          <w:ilvl w:val="0"/>
          <w:numId w:val="9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 xml:space="preserve">Carefully aspirate supernatant from pelleted 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conicals</w:t>
      </w:r>
      <w:proofErr w:type="spellEnd"/>
    </w:p>
    <w:p w:rsidR="00F701EA" w:rsidRPr="00F701EA" w:rsidRDefault="00F701EA" w:rsidP="00F701EA">
      <w:pPr>
        <w:numPr>
          <w:ilvl w:val="0"/>
          <w:numId w:val="9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 xml:space="preserve">Add appropriate volume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StemFlex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 + Rock inhibitor (Ri) at 10μM to 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conicals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 according to pellet size for counting</w:t>
      </w:r>
    </w:p>
    <w:p w:rsidR="00F701EA" w:rsidRPr="006A1E2B" w:rsidRDefault="00F701EA" w:rsidP="00F701EA">
      <w:pPr>
        <w:numPr>
          <w:ilvl w:val="0"/>
          <w:numId w:val="9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F701EA">
        <w:rPr>
          <w:rFonts w:ascii="Times New Roman" w:eastAsia="Times New Roman" w:hAnsi="Times New Roman" w:cs="Times New Roman"/>
          <w:color w:val="000000"/>
        </w:rPr>
        <w:t xml:space="preserve">Triturate to resuspend cells in </w:t>
      </w:r>
      <w:proofErr w:type="spellStart"/>
      <w:r w:rsidRPr="00F701EA">
        <w:rPr>
          <w:rFonts w:ascii="Times New Roman" w:eastAsia="Times New Roman" w:hAnsi="Times New Roman" w:cs="Times New Roman"/>
          <w:color w:val="000000"/>
        </w:rPr>
        <w:t>StemFlex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 + Ri* and remove 10μL (careful to minimize contact of pipette with the side of the conical wall); add this volume to a 1.5mL Eppendorf tube</w:t>
      </w:r>
    </w:p>
    <w:p w:rsidR="00F701EA" w:rsidRPr="00F701EA" w:rsidRDefault="006A1E2B" w:rsidP="00F701EA">
      <w:pPr>
        <w:numPr>
          <w:ilvl w:val="0"/>
          <w:numId w:val="9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Count cells and c</w:t>
      </w:r>
      <w:r w:rsidR="00F701EA" w:rsidRPr="00F701EA">
        <w:rPr>
          <w:rFonts w:ascii="Times New Roman" w:eastAsia="Times New Roman" w:hAnsi="Times New Roman" w:cs="Times New Roman"/>
          <w:color w:val="000000"/>
        </w:rPr>
        <w:t xml:space="preserve">alculate desired number of cells to seed, and dilute this volume with additional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StemFlex</w:t>
      </w:r>
      <w:proofErr w:type="spellEnd"/>
      <w:r w:rsidRPr="00F701EA">
        <w:rPr>
          <w:rFonts w:ascii="Times New Roman" w:eastAsia="Times New Roman" w:hAnsi="Times New Roman" w:cs="Times New Roman"/>
          <w:color w:val="000000"/>
        </w:rPr>
        <w:t xml:space="preserve"> </w:t>
      </w:r>
      <w:r w:rsidR="00F701EA" w:rsidRPr="00F701EA">
        <w:rPr>
          <w:rFonts w:ascii="Times New Roman" w:eastAsia="Times New Roman" w:hAnsi="Times New Roman" w:cs="Times New Roman"/>
          <w:color w:val="000000"/>
        </w:rPr>
        <w:t>+ Ri to plate</w:t>
      </w:r>
    </w:p>
    <w:p w:rsidR="00F701EA" w:rsidRPr="00F701EA" w:rsidRDefault="00F701EA" w:rsidP="00F701EA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50-100μL media with cells per well of a 96-well plate</w:t>
      </w:r>
    </w:p>
    <w:p w:rsidR="00F701EA" w:rsidRPr="00F701EA" w:rsidRDefault="00F701EA" w:rsidP="00F701EA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250-500μL per well of a 24 well-plate</w:t>
      </w:r>
    </w:p>
    <w:p w:rsidR="00F701EA" w:rsidRPr="00F701EA" w:rsidRDefault="00F701EA" w:rsidP="00F701EA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0.75-1mL per well of a 12-well plate</w:t>
      </w:r>
    </w:p>
    <w:p w:rsidR="00F701EA" w:rsidRPr="00F701EA" w:rsidRDefault="00F701EA" w:rsidP="00F701EA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1.5-2mL per well of a 6-well plate</w:t>
      </w:r>
    </w:p>
    <w:p w:rsidR="00F701EA" w:rsidRPr="00F701EA" w:rsidRDefault="00F701EA" w:rsidP="00F701EA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8-12mL per 10-cm dish</w:t>
      </w:r>
    </w:p>
    <w:p w:rsidR="006A1E2B" w:rsidRPr="006A1E2B" w:rsidRDefault="00F701EA" w:rsidP="006A1E2B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</w:rPr>
      </w:pPr>
      <w:r w:rsidRPr="00F701EA">
        <w:rPr>
          <w:rFonts w:ascii="Times New Roman" w:eastAsia="Times New Roman" w:hAnsi="Times New Roman" w:cs="Times New Roman"/>
          <w:color w:val="000000"/>
        </w:rPr>
        <w:t>15-25mL per 15-cm dish</w:t>
      </w:r>
    </w:p>
    <w:p w:rsidR="006A1E2B" w:rsidRPr="00F701EA" w:rsidRDefault="006A1E2B" w:rsidP="006A1E2B">
      <w:pPr>
        <w:numPr>
          <w:ilvl w:val="0"/>
          <w:numId w:val="9"/>
        </w:numPr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iPSCs can be frozen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StemFlex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+ 10 % DMSO</w:t>
      </w:r>
    </w:p>
    <w:p w:rsidR="006A1E2B" w:rsidRPr="006A1E2B" w:rsidRDefault="006A1E2B" w:rsidP="006A1E2B">
      <w:pPr>
        <w:textAlignment w:val="baseline"/>
        <w:rPr>
          <w:rFonts w:ascii="Arial" w:eastAsia="Times New Roman" w:hAnsi="Arial" w:cs="Arial"/>
          <w:color w:val="000000"/>
        </w:rPr>
      </w:pPr>
    </w:p>
    <w:p w:rsidR="00F701EA" w:rsidRPr="00F701EA" w:rsidRDefault="00F701EA" w:rsidP="00F701EA">
      <w:pPr>
        <w:ind w:hanging="360"/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*Note</w:t>
      </w:r>
      <w:r w:rsidRPr="00F701EA">
        <w:rPr>
          <w:rFonts w:ascii="Times New Roman" w:eastAsia="Times New Roman" w:hAnsi="Times New Roman" w:cs="Times New Roman"/>
          <w:color w:val="000000"/>
        </w:rPr>
        <w:t>: Rock inhibitor should only be used when cells are individualized or in small colonies (typically the first two days after passaging); the presence of Ri at higher densities results in cell stress/death, and in general, Ri greatly reduces proliferation</w:t>
      </w:r>
    </w:p>
    <w:p w:rsidR="00F701EA" w:rsidRPr="006A1E2B" w:rsidRDefault="00F701EA">
      <w:pPr>
        <w:rPr>
          <w:rFonts w:ascii="Times New Roman" w:eastAsia="Times New Roman" w:hAnsi="Times New Roman" w:cs="Times New Roman"/>
        </w:rPr>
      </w:pPr>
      <w:r w:rsidRPr="00F701EA">
        <w:rPr>
          <w:rFonts w:ascii="Times New Roman" w:eastAsia="Times New Roman" w:hAnsi="Times New Roman" w:cs="Times New Roman"/>
          <w:i/>
          <w:iCs/>
          <w:color w:val="000000"/>
        </w:rPr>
        <w:t>**Note</w:t>
      </w:r>
      <w:r w:rsidRPr="00F701EA">
        <w:rPr>
          <w:rFonts w:ascii="Times New Roman" w:eastAsia="Times New Roman" w:hAnsi="Times New Roman" w:cs="Times New Roman"/>
          <w:color w:val="000000"/>
        </w:rPr>
        <w:t>: for general passaging where exact cell number seeded is not important, I typically add resuspended cells at 1:100, 1:50, and 1:20 the final well volume for near-confluency in 7 days, 5 days, and 3 days, respectively</w:t>
      </w:r>
    </w:p>
    <w:sectPr w:rsidR="00F701EA" w:rsidRPr="006A1E2B" w:rsidSect="009A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57A8"/>
    <w:multiLevelType w:val="multilevel"/>
    <w:tmpl w:val="444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F37B6"/>
    <w:multiLevelType w:val="multilevel"/>
    <w:tmpl w:val="080A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73326"/>
    <w:multiLevelType w:val="multilevel"/>
    <w:tmpl w:val="CDD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641EB"/>
    <w:multiLevelType w:val="multilevel"/>
    <w:tmpl w:val="0994EF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A3F52"/>
    <w:multiLevelType w:val="multilevel"/>
    <w:tmpl w:val="FED4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E0517"/>
    <w:multiLevelType w:val="multilevel"/>
    <w:tmpl w:val="D356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6169E"/>
    <w:multiLevelType w:val="multilevel"/>
    <w:tmpl w:val="B68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E6628"/>
    <w:multiLevelType w:val="multilevel"/>
    <w:tmpl w:val="CE92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8003C"/>
    <w:multiLevelType w:val="multilevel"/>
    <w:tmpl w:val="3FF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D7C4E"/>
    <w:multiLevelType w:val="multilevel"/>
    <w:tmpl w:val="33BC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82733"/>
    <w:multiLevelType w:val="multilevel"/>
    <w:tmpl w:val="2B7E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EA"/>
    <w:rsid w:val="006201DF"/>
    <w:rsid w:val="006A1E2B"/>
    <w:rsid w:val="009A3131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F8442"/>
  <w15:chartTrackingRefBased/>
  <w15:docId w15:val="{6FE9A78D-EB72-D04B-A1FA-3DD94A00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1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A1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Tian, Ruilin</dc:creator>
  <cp:keywords/>
  <dc:description/>
  <cp:lastModifiedBy>Martin Kampmann</cp:lastModifiedBy>
  <cp:revision>2</cp:revision>
  <dcterms:created xsi:type="dcterms:W3CDTF">2019-10-22T03:57:00Z</dcterms:created>
  <dcterms:modified xsi:type="dcterms:W3CDTF">2019-10-22T16:58:00Z</dcterms:modified>
</cp:coreProperties>
</file>